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9ABD"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6F1518F" wp14:editId="62D29A1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720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46F2918" wp14:editId="7788606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E7551" w14:textId="77777777" w:rsidR="00CB2660" w:rsidRDefault="002C1641">
                            <w:r>
                              <w:rPr>
                                <w:noProof/>
                              </w:rPr>
                              <w:drawing>
                                <wp:inline distT="0" distB="0" distL="0" distR="0" wp14:anchorId="7A7E98C4" wp14:editId="65B783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F2918"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93E7551" w14:textId="77777777" w:rsidR="00CB2660" w:rsidRDefault="002C1641">
                      <w:r>
                        <w:rPr>
                          <w:noProof/>
                        </w:rPr>
                        <w:drawing>
                          <wp:inline distT="0" distB="0" distL="0" distR="0" wp14:anchorId="7A7E98C4" wp14:editId="65B783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24C06D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9AE8F0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8B2556D"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C84102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6D5AD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B41B23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25F6503"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0B30D5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0148A7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F11D83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A0AB0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0CDAE0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99A9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AF7D44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5E70B5C" wp14:editId="4BABAE4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FDF32" w14:textId="2F9FC455"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050D7">
                              <w:rPr>
                                <w:rFonts w:asciiTheme="majorHAnsi" w:hAnsiTheme="majorHAnsi" w:cs="Arial"/>
                                <w:b/>
                                <w:bCs/>
                                <w:color w:val="0D0D0D" w:themeColor="text1" w:themeTint="F2"/>
                                <w:sz w:val="36"/>
                                <w:szCs w:val="40"/>
                              </w:rPr>
                              <w:t>167</w:t>
                            </w:r>
                            <w:r w:rsidRPr="004B7EB6">
                              <w:rPr>
                                <w:rFonts w:asciiTheme="majorHAnsi" w:hAnsiTheme="majorHAnsi" w:cs="Arial"/>
                                <w:b/>
                                <w:bCs/>
                                <w:color w:val="0D0D0D" w:themeColor="text1" w:themeTint="F2"/>
                                <w:sz w:val="36"/>
                                <w:szCs w:val="40"/>
                              </w:rPr>
                              <w:t>/</w:t>
                            </w:r>
                            <w:r w:rsidR="00DF19C0">
                              <w:rPr>
                                <w:rFonts w:asciiTheme="majorHAnsi" w:hAnsiTheme="majorHAnsi" w:cs="Arial"/>
                                <w:b/>
                                <w:bCs/>
                                <w:color w:val="0D0D0D" w:themeColor="text1" w:themeTint="F2"/>
                                <w:sz w:val="36"/>
                                <w:szCs w:val="40"/>
                              </w:rPr>
                              <w:t>22</w:t>
                            </w:r>
                          </w:p>
                          <w:p w14:paraId="67524280" w14:textId="7F706990"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F19C0">
                              <w:rPr>
                                <w:rFonts w:asciiTheme="majorHAnsi" w:hAnsiTheme="majorHAnsi" w:cs="Arial"/>
                                <w:b/>
                                <w:color w:val="0D0D0D" w:themeColor="text1" w:themeTint="F2"/>
                                <w:sz w:val="36"/>
                                <w:szCs w:val="40"/>
                              </w:rPr>
                              <w:t>1186</w:t>
                            </w:r>
                            <w:r w:rsidR="002C1641" w:rsidRPr="004B7EB6">
                              <w:rPr>
                                <w:rFonts w:asciiTheme="majorHAnsi" w:hAnsiTheme="majorHAnsi" w:cs="Arial"/>
                                <w:b/>
                                <w:color w:val="0D0D0D" w:themeColor="text1" w:themeTint="F2"/>
                                <w:sz w:val="36"/>
                                <w:szCs w:val="40"/>
                              </w:rPr>
                              <w:t>-</w:t>
                            </w:r>
                            <w:r w:rsidR="00DF19C0">
                              <w:rPr>
                                <w:rFonts w:asciiTheme="majorHAnsi" w:hAnsiTheme="majorHAnsi" w:cs="Arial"/>
                                <w:b/>
                                <w:color w:val="0D0D0D" w:themeColor="text1" w:themeTint="F2"/>
                                <w:sz w:val="36"/>
                                <w:szCs w:val="40"/>
                              </w:rPr>
                              <w:t>09</w:t>
                            </w:r>
                          </w:p>
                          <w:p w14:paraId="093A5852" w14:textId="16544889"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14:paraId="1E5AE7DB" w14:textId="77777777" w:rsidR="00450A4A" w:rsidRPr="004B7EB6" w:rsidRDefault="00450A4A" w:rsidP="004B7EB6">
                            <w:pPr>
                              <w:spacing w:line="276" w:lineRule="auto"/>
                              <w:rPr>
                                <w:rFonts w:asciiTheme="majorHAnsi" w:hAnsiTheme="majorHAnsi" w:cs="Arial"/>
                                <w:color w:val="0D0D0D" w:themeColor="text1" w:themeTint="F2"/>
                                <w:szCs w:val="22"/>
                              </w:rPr>
                            </w:pPr>
                          </w:p>
                          <w:p w14:paraId="207D7A87" w14:textId="38BD136F" w:rsidR="00322450" w:rsidRPr="00EC3D09" w:rsidRDefault="00DF19C0" w:rsidP="004B7EB6">
                            <w:pPr>
                              <w:spacing w:line="276" w:lineRule="auto"/>
                              <w:rPr>
                                <w:rFonts w:asciiTheme="majorHAnsi" w:hAnsiTheme="majorHAnsi" w:cs="Arial"/>
                                <w:color w:val="0D0D0D" w:themeColor="text1" w:themeTint="F2"/>
                                <w:szCs w:val="22"/>
                              </w:rPr>
                            </w:pPr>
                            <w:r w:rsidRPr="00EC3D09">
                              <w:rPr>
                                <w:rFonts w:asciiTheme="majorHAnsi" w:hAnsiTheme="majorHAnsi" w:cs="Arial"/>
                                <w:color w:val="0D0D0D" w:themeColor="text1" w:themeTint="F2"/>
                                <w:szCs w:val="22"/>
                              </w:rPr>
                              <w:t>ADELA VILLAMIL</w:t>
                            </w:r>
                          </w:p>
                          <w:p w14:paraId="08D248D7" w14:textId="095FD212" w:rsidR="005B52B0" w:rsidRPr="004B7EB6" w:rsidRDefault="00DF19C0"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0B5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22EFDF32" w14:textId="2F9FC455"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050D7">
                        <w:rPr>
                          <w:rFonts w:asciiTheme="majorHAnsi" w:hAnsiTheme="majorHAnsi" w:cs="Arial"/>
                          <w:b/>
                          <w:bCs/>
                          <w:color w:val="0D0D0D" w:themeColor="text1" w:themeTint="F2"/>
                          <w:sz w:val="36"/>
                          <w:szCs w:val="40"/>
                        </w:rPr>
                        <w:t>167</w:t>
                      </w:r>
                      <w:r w:rsidRPr="004B7EB6">
                        <w:rPr>
                          <w:rFonts w:asciiTheme="majorHAnsi" w:hAnsiTheme="majorHAnsi" w:cs="Arial"/>
                          <w:b/>
                          <w:bCs/>
                          <w:color w:val="0D0D0D" w:themeColor="text1" w:themeTint="F2"/>
                          <w:sz w:val="36"/>
                          <w:szCs w:val="40"/>
                        </w:rPr>
                        <w:t>/</w:t>
                      </w:r>
                      <w:r w:rsidR="00DF19C0">
                        <w:rPr>
                          <w:rFonts w:asciiTheme="majorHAnsi" w:hAnsiTheme="majorHAnsi" w:cs="Arial"/>
                          <w:b/>
                          <w:bCs/>
                          <w:color w:val="0D0D0D" w:themeColor="text1" w:themeTint="F2"/>
                          <w:sz w:val="36"/>
                          <w:szCs w:val="40"/>
                        </w:rPr>
                        <w:t>22</w:t>
                      </w:r>
                    </w:p>
                    <w:p w14:paraId="67524280" w14:textId="7F706990"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DF19C0">
                        <w:rPr>
                          <w:rFonts w:asciiTheme="majorHAnsi" w:hAnsiTheme="majorHAnsi" w:cs="Arial"/>
                          <w:b/>
                          <w:color w:val="0D0D0D" w:themeColor="text1" w:themeTint="F2"/>
                          <w:sz w:val="36"/>
                          <w:szCs w:val="40"/>
                        </w:rPr>
                        <w:t>1186</w:t>
                      </w:r>
                      <w:r w:rsidR="002C1641" w:rsidRPr="004B7EB6">
                        <w:rPr>
                          <w:rFonts w:asciiTheme="majorHAnsi" w:hAnsiTheme="majorHAnsi" w:cs="Arial"/>
                          <w:b/>
                          <w:color w:val="0D0D0D" w:themeColor="text1" w:themeTint="F2"/>
                          <w:sz w:val="36"/>
                          <w:szCs w:val="40"/>
                        </w:rPr>
                        <w:t>-</w:t>
                      </w:r>
                      <w:r w:rsidR="00DF19C0">
                        <w:rPr>
                          <w:rFonts w:asciiTheme="majorHAnsi" w:hAnsiTheme="majorHAnsi" w:cs="Arial"/>
                          <w:b/>
                          <w:color w:val="0D0D0D" w:themeColor="text1" w:themeTint="F2"/>
                          <w:sz w:val="36"/>
                          <w:szCs w:val="40"/>
                        </w:rPr>
                        <w:t>09</w:t>
                      </w:r>
                    </w:p>
                    <w:p w14:paraId="093A5852" w14:textId="16544889"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14:paraId="1E5AE7DB" w14:textId="77777777" w:rsidR="00450A4A" w:rsidRPr="004B7EB6" w:rsidRDefault="00450A4A" w:rsidP="004B7EB6">
                      <w:pPr>
                        <w:spacing w:line="276" w:lineRule="auto"/>
                        <w:rPr>
                          <w:rFonts w:asciiTheme="majorHAnsi" w:hAnsiTheme="majorHAnsi" w:cs="Arial"/>
                          <w:color w:val="0D0D0D" w:themeColor="text1" w:themeTint="F2"/>
                          <w:szCs w:val="22"/>
                        </w:rPr>
                      </w:pPr>
                    </w:p>
                    <w:p w14:paraId="207D7A87" w14:textId="38BD136F" w:rsidR="00322450" w:rsidRPr="00EC3D09" w:rsidRDefault="00DF19C0" w:rsidP="004B7EB6">
                      <w:pPr>
                        <w:spacing w:line="276" w:lineRule="auto"/>
                        <w:rPr>
                          <w:rFonts w:asciiTheme="majorHAnsi" w:hAnsiTheme="majorHAnsi" w:cs="Arial"/>
                          <w:color w:val="0D0D0D" w:themeColor="text1" w:themeTint="F2"/>
                          <w:szCs w:val="22"/>
                        </w:rPr>
                      </w:pPr>
                      <w:r w:rsidRPr="00EC3D09">
                        <w:rPr>
                          <w:rFonts w:asciiTheme="majorHAnsi" w:hAnsiTheme="majorHAnsi" w:cs="Arial"/>
                          <w:color w:val="0D0D0D" w:themeColor="text1" w:themeTint="F2"/>
                          <w:szCs w:val="22"/>
                        </w:rPr>
                        <w:t>ADELA VILLAMIL</w:t>
                      </w:r>
                    </w:p>
                    <w:p w14:paraId="08D248D7" w14:textId="095FD212" w:rsidR="005B52B0" w:rsidRPr="004B7EB6" w:rsidRDefault="00DF19C0"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BOLIVIA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448A153" wp14:editId="416198F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E502B"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1C662CB5" w14:textId="7B29D27C"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2050D7">
                              <w:rPr>
                                <w:rFonts w:asciiTheme="minorHAnsi" w:hAnsiTheme="minorHAnsi"/>
                                <w:color w:val="FFFFFF" w:themeColor="background1"/>
                                <w:sz w:val="22"/>
                                <w:lang w:val="pt-BR"/>
                              </w:rPr>
                              <w:t>170</w:t>
                            </w:r>
                          </w:p>
                          <w:p w14:paraId="16CDE03E" w14:textId="0D4C5E75" w:rsidR="00627C9F" w:rsidRPr="004B7EB6" w:rsidRDefault="002050D7"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8A2B92">
                              <w:rPr>
                                <w:rFonts w:asciiTheme="minorHAnsi" w:hAnsiTheme="minorHAnsi"/>
                                <w:color w:val="FFFFFF" w:themeColor="background1"/>
                                <w:sz w:val="22"/>
                              </w:rPr>
                              <w:t>July</w:t>
                            </w:r>
                            <w:r w:rsidR="00DF19C0">
                              <w:rPr>
                                <w:rFonts w:asciiTheme="minorHAnsi" w:hAnsiTheme="minorHAnsi"/>
                                <w:color w:val="FFFFFF" w:themeColor="background1"/>
                                <w:sz w:val="22"/>
                              </w:rPr>
                              <w:t xml:space="preserve"> 2022</w:t>
                            </w:r>
                          </w:p>
                          <w:p w14:paraId="73205EBF" w14:textId="617F9B9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F19C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8A153"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094E502B"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1C662CB5" w14:textId="7B29D27C"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2050D7">
                        <w:rPr>
                          <w:rFonts w:asciiTheme="minorHAnsi" w:hAnsiTheme="minorHAnsi"/>
                          <w:color w:val="FFFFFF" w:themeColor="background1"/>
                          <w:sz w:val="22"/>
                          <w:lang w:val="pt-BR"/>
                        </w:rPr>
                        <w:t>170</w:t>
                      </w:r>
                    </w:p>
                    <w:p w14:paraId="16CDE03E" w14:textId="0D4C5E75" w:rsidR="00627C9F" w:rsidRPr="004B7EB6" w:rsidRDefault="002050D7"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8A2B92">
                        <w:rPr>
                          <w:rFonts w:asciiTheme="minorHAnsi" w:hAnsiTheme="minorHAnsi"/>
                          <w:color w:val="FFFFFF" w:themeColor="background1"/>
                          <w:sz w:val="22"/>
                        </w:rPr>
                        <w:t>July</w:t>
                      </w:r>
                      <w:r w:rsidR="00DF19C0">
                        <w:rPr>
                          <w:rFonts w:asciiTheme="minorHAnsi" w:hAnsiTheme="minorHAnsi"/>
                          <w:color w:val="FFFFFF" w:themeColor="background1"/>
                          <w:sz w:val="22"/>
                        </w:rPr>
                        <w:t xml:space="preserve"> 2022</w:t>
                      </w:r>
                    </w:p>
                    <w:p w14:paraId="73205EBF" w14:textId="617F9B9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F19C0">
                        <w:rPr>
                          <w:rFonts w:asciiTheme="minorHAnsi" w:hAnsiTheme="minorHAnsi"/>
                          <w:color w:val="FFFFFF" w:themeColor="background1"/>
                          <w:sz w:val="22"/>
                        </w:rPr>
                        <w:t>Spanish</w:t>
                      </w:r>
                    </w:p>
                  </w:txbxContent>
                </v:textbox>
              </v:shape>
            </w:pict>
          </mc:Fallback>
        </mc:AlternateContent>
      </w:r>
    </w:p>
    <w:p w14:paraId="10989A1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95C319B"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0E7EB8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44CE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6B2E09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75EBD6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894C2E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E05F16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0A11C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E5986B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B92F36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F8F87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043EF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937836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B97F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6510D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443795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93073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880E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89CC42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1E04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99D80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01242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AD52BC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EFC9C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1A15EA"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836DF5A" wp14:editId="4C23577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A33A0" w14:textId="3E0611A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A271D">
                              <w:rPr>
                                <w:rFonts w:asciiTheme="majorHAnsi" w:hAnsiTheme="majorHAnsi"/>
                                <w:color w:val="0D0D0D" w:themeColor="text1" w:themeTint="F2"/>
                                <w:sz w:val="18"/>
                                <w:szCs w:val="22"/>
                              </w:rPr>
                              <w:t>July</w:t>
                            </w:r>
                            <w:r w:rsidRPr="003C32BC">
                              <w:rPr>
                                <w:rFonts w:asciiTheme="majorHAnsi" w:hAnsiTheme="majorHAnsi"/>
                                <w:color w:val="0D0D0D" w:themeColor="text1" w:themeTint="F2"/>
                                <w:sz w:val="18"/>
                                <w:szCs w:val="22"/>
                              </w:rPr>
                              <w:t xml:space="preserve"> </w:t>
                            </w:r>
                            <w:r w:rsidR="002050D7">
                              <w:rPr>
                                <w:rFonts w:asciiTheme="majorHAnsi" w:hAnsiTheme="majorHAnsi"/>
                                <w:color w:val="0D0D0D" w:themeColor="text1" w:themeTint="F2"/>
                                <w:sz w:val="18"/>
                                <w:szCs w:val="22"/>
                              </w:rPr>
                              <w:t>25</w:t>
                            </w:r>
                            <w:r w:rsidRPr="003C32BC">
                              <w:rPr>
                                <w:rFonts w:asciiTheme="majorHAnsi" w:hAnsiTheme="majorHAnsi"/>
                                <w:color w:val="0D0D0D" w:themeColor="text1" w:themeTint="F2"/>
                                <w:sz w:val="18"/>
                                <w:szCs w:val="22"/>
                              </w:rPr>
                              <w:t>, 20</w:t>
                            </w:r>
                            <w:r w:rsidR="00DF19C0">
                              <w:rPr>
                                <w:rFonts w:asciiTheme="majorHAnsi" w:hAnsiTheme="majorHAnsi"/>
                                <w:color w:val="0D0D0D" w:themeColor="text1" w:themeTint="F2"/>
                                <w:sz w:val="18"/>
                                <w:szCs w:val="2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DF5A"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A3A33A0" w14:textId="3E0611A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A271D">
                        <w:rPr>
                          <w:rFonts w:asciiTheme="majorHAnsi" w:hAnsiTheme="majorHAnsi"/>
                          <w:color w:val="0D0D0D" w:themeColor="text1" w:themeTint="F2"/>
                          <w:sz w:val="18"/>
                          <w:szCs w:val="22"/>
                        </w:rPr>
                        <w:t>July</w:t>
                      </w:r>
                      <w:r w:rsidRPr="003C32BC">
                        <w:rPr>
                          <w:rFonts w:asciiTheme="majorHAnsi" w:hAnsiTheme="majorHAnsi"/>
                          <w:color w:val="0D0D0D" w:themeColor="text1" w:themeTint="F2"/>
                          <w:sz w:val="18"/>
                          <w:szCs w:val="22"/>
                        </w:rPr>
                        <w:t xml:space="preserve"> </w:t>
                      </w:r>
                      <w:r w:rsidR="002050D7">
                        <w:rPr>
                          <w:rFonts w:asciiTheme="majorHAnsi" w:hAnsiTheme="majorHAnsi"/>
                          <w:color w:val="0D0D0D" w:themeColor="text1" w:themeTint="F2"/>
                          <w:sz w:val="18"/>
                          <w:szCs w:val="22"/>
                        </w:rPr>
                        <w:t>25</w:t>
                      </w:r>
                      <w:r w:rsidRPr="003C32BC">
                        <w:rPr>
                          <w:rFonts w:asciiTheme="majorHAnsi" w:hAnsiTheme="majorHAnsi"/>
                          <w:color w:val="0D0D0D" w:themeColor="text1" w:themeTint="F2"/>
                          <w:sz w:val="18"/>
                          <w:szCs w:val="22"/>
                        </w:rPr>
                        <w:t>, 20</w:t>
                      </w:r>
                      <w:r w:rsidR="00DF19C0">
                        <w:rPr>
                          <w:rFonts w:asciiTheme="majorHAnsi" w:hAnsiTheme="majorHAnsi"/>
                          <w:color w:val="0D0D0D" w:themeColor="text1" w:themeTint="F2"/>
                          <w:sz w:val="18"/>
                          <w:szCs w:val="22"/>
                        </w:rPr>
                        <w:t>22</w:t>
                      </w:r>
                    </w:p>
                  </w:txbxContent>
                </v:textbox>
              </v:shape>
            </w:pict>
          </mc:Fallback>
        </mc:AlternateContent>
      </w:r>
    </w:p>
    <w:p w14:paraId="5FC766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FBDF58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80CF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A06A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2719F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2DE3211" wp14:editId="2133698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99824" w14:textId="75D3B9B8" w:rsidR="00F644E6" w:rsidRPr="000D0C73"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050D7" w:rsidRPr="002050D7">
                              <w:rPr>
                                <w:rFonts w:asciiTheme="majorHAnsi" w:hAnsiTheme="majorHAnsi"/>
                                <w:color w:val="595959" w:themeColor="text1" w:themeTint="A6"/>
                                <w:sz w:val="18"/>
                              </w:rPr>
                              <w:t>167</w:t>
                            </w:r>
                            <w:r w:rsidR="00DF19C0" w:rsidRPr="002050D7">
                              <w:rPr>
                                <w:rFonts w:asciiTheme="majorHAnsi" w:hAnsiTheme="majorHAnsi"/>
                                <w:color w:val="595959" w:themeColor="text1" w:themeTint="A6"/>
                                <w:sz w:val="18"/>
                              </w:rPr>
                              <w:t xml:space="preserve">/22, </w:t>
                            </w:r>
                            <w:r w:rsidRPr="002050D7">
                              <w:rPr>
                                <w:rFonts w:asciiTheme="majorHAnsi" w:hAnsiTheme="majorHAnsi"/>
                                <w:color w:val="595959" w:themeColor="text1" w:themeTint="A6"/>
                                <w:sz w:val="18"/>
                              </w:rPr>
                              <w:t>Petition</w:t>
                            </w:r>
                            <w:r w:rsidR="00DF19C0" w:rsidRPr="002050D7">
                              <w:rPr>
                                <w:rFonts w:asciiTheme="majorHAnsi" w:hAnsiTheme="majorHAnsi"/>
                                <w:color w:val="595959" w:themeColor="text1" w:themeTint="A6"/>
                                <w:sz w:val="18"/>
                              </w:rPr>
                              <w:t>.1186-09</w:t>
                            </w:r>
                            <w:r w:rsidRPr="002050D7">
                              <w:rPr>
                                <w:rFonts w:asciiTheme="majorHAnsi" w:hAnsiTheme="majorHAnsi"/>
                                <w:color w:val="595959" w:themeColor="text1" w:themeTint="A6"/>
                                <w:sz w:val="18"/>
                              </w:rPr>
                              <w:t xml:space="preserve">. </w:t>
                            </w:r>
                            <w:r w:rsidRPr="000D0C73">
                              <w:rPr>
                                <w:rFonts w:asciiTheme="majorHAnsi" w:hAnsiTheme="majorHAnsi"/>
                                <w:color w:val="595959" w:themeColor="text1" w:themeTint="A6"/>
                                <w:sz w:val="18"/>
                                <w:lang w:val="es-ES"/>
                              </w:rPr>
                              <w:t xml:space="preserve">Archive. </w:t>
                            </w:r>
                            <w:r w:rsidR="00DF19C0" w:rsidRPr="000D0C73">
                              <w:rPr>
                                <w:rFonts w:asciiTheme="majorHAnsi" w:hAnsiTheme="majorHAnsi"/>
                                <w:color w:val="595959" w:themeColor="text1" w:themeTint="A6"/>
                                <w:sz w:val="18"/>
                                <w:lang w:val="es-ES"/>
                              </w:rPr>
                              <w:t>Adela Villamil. Bolivia.</w:t>
                            </w:r>
                            <w:r w:rsidRPr="000D0C73">
                              <w:rPr>
                                <w:rFonts w:asciiTheme="majorHAnsi" w:hAnsiTheme="majorHAnsi"/>
                                <w:color w:val="595959" w:themeColor="text1" w:themeTint="A6"/>
                                <w:sz w:val="18"/>
                                <w:lang w:val="es-ES"/>
                              </w:rPr>
                              <w:t xml:space="preserve"> </w:t>
                            </w:r>
                            <w:r w:rsidR="008A271D" w:rsidRPr="000D0C73">
                              <w:rPr>
                                <w:rFonts w:asciiTheme="majorHAnsi" w:hAnsiTheme="majorHAnsi"/>
                                <w:color w:val="595959" w:themeColor="text1" w:themeTint="A6"/>
                                <w:sz w:val="18"/>
                                <w:lang w:val="es-ES"/>
                              </w:rPr>
                              <w:t>July</w:t>
                            </w:r>
                            <w:r w:rsidR="006541BB" w:rsidRPr="000D0C73">
                              <w:rPr>
                                <w:rFonts w:asciiTheme="majorHAnsi" w:hAnsiTheme="majorHAnsi"/>
                                <w:color w:val="595959" w:themeColor="text1" w:themeTint="A6"/>
                                <w:sz w:val="18"/>
                                <w:lang w:val="es-ES"/>
                              </w:rPr>
                              <w:t xml:space="preserve"> </w:t>
                            </w:r>
                            <w:r w:rsidR="002050D7" w:rsidRPr="000D0C73">
                              <w:rPr>
                                <w:rFonts w:asciiTheme="majorHAnsi" w:hAnsiTheme="majorHAnsi"/>
                                <w:color w:val="595959" w:themeColor="text1" w:themeTint="A6"/>
                                <w:sz w:val="18"/>
                                <w:lang w:val="es-ES"/>
                              </w:rPr>
                              <w:t>25</w:t>
                            </w:r>
                            <w:r w:rsidR="006541BB" w:rsidRPr="000D0C73">
                              <w:rPr>
                                <w:rFonts w:asciiTheme="majorHAnsi" w:hAnsiTheme="majorHAnsi"/>
                                <w:color w:val="595959" w:themeColor="text1" w:themeTint="A6"/>
                                <w:sz w:val="18"/>
                                <w:lang w:val="es-ES"/>
                              </w:rPr>
                              <w:t>,</w:t>
                            </w:r>
                            <w:r w:rsidR="00DF19C0" w:rsidRPr="000D0C73">
                              <w:rPr>
                                <w:rFonts w:asciiTheme="majorHAnsi" w:hAnsiTheme="majorHAnsi"/>
                                <w:color w:val="595959" w:themeColor="text1" w:themeTint="A6"/>
                                <w:sz w:val="18"/>
                                <w:lang w:val="es-ES"/>
                              </w:rPr>
                              <w:t xml:space="preserve"> 2022</w:t>
                            </w:r>
                            <w:r w:rsidRPr="000D0C73">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321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6F599824" w14:textId="75D3B9B8" w:rsidR="00F644E6" w:rsidRPr="000D0C73"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050D7" w:rsidRPr="002050D7">
                        <w:rPr>
                          <w:rFonts w:asciiTheme="majorHAnsi" w:hAnsiTheme="majorHAnsi"/>
                          <w:color w:val="595959" w:themeColor="text1" w:themeTint="A6"/>
                          <w:sz w:val="18"/>
                        </w:rPr>
                        <w:t>167</w:t>
                      </w:r>
                      <w:r w:rsidR="00DF19C0" w:rsidRPr="002050D7">
                        <w:rPr>
                          <w:rFonts w:asciiTheme="majorHAnsi" w:hAnsiTheme="majorHAnsi"/>
                          <w:color w:val="595959" w:themeColor="text1" w:themeTint="A6"/>
                          <w:sz w:val="18"/>
                        </w:rPr>
                        <w:t xml:space="preserve">/22, </w:t>
                      </w:r>
                      <w:r w:rsidRPr="002050D7">
                        <w:rPr>
                          <w:rFonts w:asciiTheme="majorHAnsi" w:hAnsiTheme="majorHAnsi"/>
                          <w:color w:val="595959" w:themeColor="text1" w:themeTint="A6"/>
                          <w:sz w:val="18"/>
                        </w:rPr>
                        <w:t>Petition</w:t>
                      </w:r>
                      <w:r w:rsidR="00DF19C0" w:rsidRPr="002050D7">
                        <w:rPr>
                          <w:rFonts w:asciiTheme="majorHAnsi" w:hAnsiTheme="majorHAnsi"/>
                          <w:color w:val="595959" w:themeColor="text1" w:themeTint="A6"/>
                          <w:sz w:val="18"/>
                        </w:rPr>
                        <w:t>.1186-09</w:t>
                      </w:r>
                      <w:r w:rsidRPr="002050D7">
                        <w:rPr>
                          <w:rFonts w:asciiTheme="majorHAnsi" w:hAnsiTheme="majorHAnsi"/>
                          <w:color w:val="595959" w:themeColor="text1" w:themeTint="A6"/>
                          <w:sz w:val="18"/>
                        </w:rPr>
                        <w:t xml:space="preserve">. </w:t>
                      </w:r>
                      <w:r w:rsidRPr="000D0C73">
                        <w:rPr>
                          <w:rFonts w:asciiTheme="majorHAnsi" w:hAnsiTheme="majorHAnsi"/>
                          <w:color w:val="595959" w:themeColor="text1" w:themeTint="A6"/>
                          <w:sz w:val="18"/>
                          <w:lang w:val="es-ES"/>
                        </w:rPr>
                        <w:t xml:space="preserve">Archive. </w:t>
                      </w:r>
                      <w:r w:rsidR="00DF19C0" w:rsidRPr="000D0C73">
                        <w:rPr>
                          <w:rFonts w:asciiTheme="majorHAnsi" w:hAnsiTheme="majorHAnsi"/>
                          <w:color w:val="595959" w:themeColor="text1" w:themeTint="A6"/>
                          <w:sz w:val="18"/>
                          <w:lang w:val="es-ES"/>
                        </w:rPr>
                        <w:t>Adela Villamil. Bolivia.</w:t>
                      </w:r>
                      <w:r w:rsidRPr="000D0C73">
                        <w:rPr>
                          <w:rFonts w:asciiTheme="majorHAnsi" w:hAnsiTheme="majorHAnsi"/>
                          <w:color w:val="595959" w:themeColor="text1" w:themeTint="A6"/>
                          <w:sz w:val="18"/>
                          <w:lang w:val="es-ES"/>
                        </w:rPr>
                        <w:t xml:space="preserve"> </w:t>
                      </w:r>
                      <w:r w:rsidR="008A271D" w:rsidRPr="000D0C73">
                        <w:rPr>
                          <w:rFonts w:asciiTheme="majorHAnsi" w:hAnsiTheme="majorHAnsi"/>
                          <w:color w:val="595959" w:themeColor="text1" w:themeTint="A6"/>
                          <w:sz w:val="18"/>
                          <w:lang w:val="es-ES"/>
                        </w:rPr>
                        <w:t>July</w:t>
                      </w:r>
                      <w:r w:rsidR="006541BB" w:rsidRPr="000D0C73">
                        <w:rPr>
                          <w:rFonts w:asciiTheme="majorHAnsi" w:hAnsiTheme="majorHAnsi"/>
                          <w:color w:val="595959" w:themeColor="text1" w:themeTint="A6"/>
                          <w:sz w:val="18"/>
                          <w:lang w:val="es-ES"/>
                        </w:rPr>
                        <w:t xml:space="preserve"> </w:t>
                      </w:r>
                      <w:r w:rsidR="002050D7" w:rsidRPr="000D0C73">
                        <w:rPr>
                          <w:rFonts w:asciiTheme="majorHAnsi" w:hAnsiTheme="majorHAnsi"/>
                          <w:color w:val="595959" w:themeColor="text1" w:themeTint="A6"/>
                          <w:sz w:val="18"/>
                          <w:lang w:val="es-ES"/>
                        </w:rPr>
                        <w:t>25</w:t>
                      </w:r>
                      <w:r w:rsidR="006541BB" w:rsidRPr="000D0C73">
                        <w:rPr>
                          <w:rFonts w:asciiTheme="majorHAnsi" w:hAnsiTheme="majorHAnsi"/>
                          <w:color w:val="595959" w:themeColor="text1" w:themeTint="A6"/>
                          <w:sz w:val="18"/>
                          <w:lang w:val="es-ES"/>
                        </w:rPr>
                        <w:t>,</w:t>
                      </w:r>
                      <w:r w:rsidR="00DF19C0" w:rsidRPr="000D0C73">
                        <w:rPr>
                          <w:rFonts w:asciiTheme="majorHAnsi" w:hAnsiTheme="majorHAnsi"/>
                          <w:color w:val="595959" w:themeColor="text1" w:themeTint="A6"/>
                          <w:sz w:val="18"/>
                          <w:lang w:val="es-ES"/>
                        </w:rPr>
                        <w:t xml:space="preserve"> 2022</w:t>
                      </w:r>
                      <w:r w:rsidRPr="000D0C73">
                        <w:rPr>
                          <w:rFonts w:asciiTheme="majorHAnsi" w:hAnsiTheme="majorHAnsi"/>
                          <w:color w:val="595959" w:themeColor="text1" w:themeTint="A6"/>
                          <w:sz w:val="18"/>
                          <w:lang w:val="es-ES"/>
                        </w:rPr>
                        <w:t>.</w:t>
                      </w:r>
                    </w:p>
                  </w:txbxContent>
                </v:textbox>
              </v:shape>
            </w:pict>
          </mc:Fallback>
        </mc:AlternateContent>
      </w:r>
    </w:p>
    <w:p w14:paraId="191B3D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26146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0E8EF02" w14:textId="77777777" w:rsidR="003C32BC" w:rsidRPr="003C32BC" w:rsidRDefault="003C32BC" w:rsidP="003C32BC">
      <w:pPr>
        <w:tabs>
          <w:tab w:val="center" w:pos="5400"/>
        </w:tabs>
        <w:suppressAutoHyphens/>
        <w:jc w:val="center"/>
        <w:rPr>
          <w:rFonts w:asciiTheme="majorHAnsi" w:hAnsiTheme="majorHAnsi"/>
          <w:sz w:val="18"/>
          <w:szCs w:val="22"/>
        </w:rPr>
      </w:pPr>
    </w:p>
    <w:p w14:paraId="6325FFC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C633D9A" wp14:editId="163F0F3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D0E88"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3D9A"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257D0E88"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C379BC2" wp14:editId="4C5F0EB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30ECD" w14:textId="77777777" w:rsidR="003C32BC" w:rsidRDefault="003815A8">
                            <w:r>
                              <w:rPr>
                                <w:noProof/>
                              </w:rPr>
                              <w:drawing>
                                <wp:inline distT="0" distB="0" distL="0" distR="0" wp14:anchorId="4C2A65B4" wp14:editId="118C932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79BC2"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13F30ECD" w14:textId="77777777" w:rsidR="003C32BC" w:rsidRDefault="003815A8">
                      <w:r>
                        <w:rPr>
                          <w:noProof/>
                        </w:rPr>
                        <w:drawing>
                          <wp:inline distT="0" distB="0" distL="0" distR="0" wp14:anchorId="4C2A65B4" wp14:editId="118C932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43D2969D"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0E8E1A7" w14:textId="210CF12A"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2050D7">
        <w:rPr>
          <w:rFonts w:asciiTheme="majorHAnsi" w:hAnsiTheme="majorHAnsi"/>
          <w:b/>
          <w:sz w:val="18"/>
          <w:szCs w:val="20"/>
        </w:rPr>
        <w:t>167</w:t>
      </w:r>
      <w:r w:rsidRPr="00FC3EB4">
        <w:rPr>
          <w:rFonts w:asciiTheme="majorHAnsi" w:hAnsiTheme="majorHAnsi"/>
          <w:b/>
          <w:sz w:val="18"/>
          <w:szCs w:val="20"/>
        </w:rPr>
        <w:t>/</w:t>
      </w:r>
      <w:r w:rsidR="00DF19C0">
        <w:rPr>
          <w:rFonts w:asciiTheme="majorHAnsi" w:hAnsiTheme="majorHAnsi"/>
          <w:b/>
          <w:sz w:val="18"/>
          <w:szCs w:val="20"/>
        </w:rPr>
        <w:t>22</w:t>
      </w:r>
    </w:p>
    <w:p w14:paraId="01256444" w14:textId="0B11630E"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 xml:space="preserve">PETITION </w:t>
      </w:r>
      <w:r w:rsidR="006541BB">
        <w:rPr>
          <w:rFonts w:asciiTheme="majorHAnsi" w:hAnsiTheme="majorHAnsi"/>
          <w:b/>
          <w:sz w:val="18"/>
          <w:szCs w:val="20"/>
        </w:rPr>
        <w:t>1186</w:t>
      </w:r>
      <w:r w:rsidRPr="00FC3EB4">
        <w:rPr>
          <w:rFonts w:asciiTheme="majorHAnsi" w:hAnsiTheme="majorHAnsi"/>
          <w:b/>
          <w:sz w:val="18"/>
          <w:szCs w:val="20"/>
        </w:rPr>
        <w:t>-</w:t>
      </w:r>
      <w:r w:rsidR="006541BB">
        <w:rPr>
          <w:rFonts w:asciiTheme="majorHAnsi" w:hAnsiTheme="majorHAnsi"/>
          <w:b/>
          <w:sz w:val="18"/>
          <w:szCs w:val="20"/>
        </w:rPr>
        <w:t>09</w:t>
      </w:r>
      <w:r w:rsidRPr="00FC3EB4">
        <w:rPr>
          <w:rFonts w:asciiTheme="majorHAnsi" w:hAnsiTheme="majorHAnsi"/>
          <w:b/>
          <w:sz w:val="18"/>
          <w:szCs w:val="20"/>
        </w:rPr>
        <w:t xml:space="preserve"> </w:t>
      </w:r>
    </w:p>
    <w:p w14:paraId="276C7BF4" w14:textId="630FCAF8" w:rsidR="006311DA" w:rsidRPr="00FC3EB4" w:rsidRDefault="006311DA" w:rsidP="006541BB">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ARCHIVE</w:t>
      </w:r>
    </w:p>
    <w:p w14:paraId="07DBFC56" w14:textId="0917F702" w:rsidR="003C32BC" w:rsidRPr="00FC3EB4" w:rsidRDefault="006541BB" w:rsidP="00145EDC">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BOLIVIA</w:t>
      </w:r>
      <w:r w:rsidR="003414AC">
        <w:rPr>
          <w:rFonts w:asciiTheme="majorHAnsi" w:hAnsiTheme="majorHAnsi"/>
          <w:sz w:val="18"/>
          <w:szCs w:val="20"/>
        </w:rPr>
        <w:br/>
      </w:r>
      <w:r w:rsidR="008A271D">
        <w:rPr>
          <w:rFonts w:asciiTheme="majorHAnsi" w:hAnsiTheme="majorHAnsi"/>
          <w:sz w:val="18"/>
          <w:szCs w:val="20"/>
        </w:rPr>
        <w:t>JULY</w:t>
      </w:r>
      <w:r>
        <w:rPr>
          <w:rFonts w:asciiTheme="majorHAnsi" w:hAnsiTheme="majorHAnsi"/>
          <w:sz w:val="18"/>
          <w:szCs w:val="20"/>
        </w:rPr>
        <w:t xml:space="preserve"> </w:t>
      </w:r>
      <w:r w:rsidR="002050D7">
        <w:rPr>
          <w:rFonts w:asciiTheme="majorHAnsi" w:hAnsiTheme="majorHAnsi"/>
          <w:sz w:val="18"/>
          <w:szCs w:val="20"/>
        </w:rPr>
        <w:t>25</w:t>
      </w:r>
      <w:r>
        <w:rPr>
          <w:rFonts w:asciiTheme="majorHAnsi" w:hAnsiTheme="majorHAnsi"/>
          <w:sz w:val="18"/>
          <w:szCs w:val="20"/>
        </w:rPr>
        <w:t>, 2022</w:t>
      </w:r>
    </w:p>
    <w:p w14:paraId="1D6C27AA"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165E8696" w14:textId="77777777" w:rsidR="006541BB" w:rsidRPr="00317C64" w:rsidRDefault="006541BB" w:rsidP="006541BB">
      <w:pPr>
        <w:ind w:left="3948" w:hanging="3948"/>
        <w:jc w:val="both"/>
        <w:rPr>
          <w:rFonts w:ascii="Cambria" w:hAnsi="Cambria"/>
          <w:b/>
          <w:caps/>
          <w:sz w:val="20"/>
          <w:szCs w:val="20"/>
          <w:lang w:eastAsia="es-ES"/>
        </w:rPr>
      </w:pPr>
    </w:p>
    <w:p w14:paraId="435DEE53" w14:textId="3AB794F9" w:rsidR="006541BB" w:rsidRPr="00B204B0" w:rsidRDefault="006541BB" w:rsidP="006541BB">
      <w:pPr>
        <w:jc w:val="both"/>
        <w:rPr>
          <w:rFonts w:ascii="Cambria" w:hAnsi="Cambria"/>
          <w:sz w:val="20"/>
          <w:szCs w:val="20"/>
          <w:lang w:eastAsia="es-ES"/>
        </w:rPr>
      </w:pPr>
      <w:r w:rsidRPr="00B204B0">
        <w:rPr>
          <w:rFonts w:ascii="Cambria" w:hAnsi="Cambria"/>
          <w:b/>
          <w:caps/>
          <w:sz w:val="20"/>
          <w:szCs w:val="20"/>
          <w:lang w:eastAsia="es-ES"/>
        </w:rPr>
        <w:t>alleged victim:</w:t>
      </w:r>
      <w:r w:rsidRPr="00B204B0">
        <w:rPr>
          <w:rFonts w:ascii="Cambria" w:hAnsi="Cambria"/>
          <w:caps/>
          <w:sz w:val="20"/>
          <w:szCs w:val="20"/>
          <w:lang w:eastAsia="es-ES"/>
        </w:rPr>
        <w:t xml:space="preserve"> </w:t>
      </w:r>
      <w:r w:rsidRPr="00B204B0">
        <w:rPr>
          <w:rFonts w:ascii="Cambria" w:hAnsi="Cambria"/>
          <w:sz w:val="20"/>
          <w:szCs w:val="20"/>
          <w:lang w:eastAsia="es-ES"/>
        </w:rPr>
        <w:tab/>
        <w:t xml:space="preserve">                                 Adela Villamil</w:t>
      </w:r>
    </w:p>
    <w:p w14:paraId="058CCB16" w14:textId="77777777" w:rsidR="006541BB" w:rsidRPr="00B204B0" w:rsidRDefault="006541BB" w:rsidP="006541BB">
      <w:pPr>
        <w:jc w:val="both"/>
        <w:rPr>
          <w:rFonts w:ascii="Cambria" w:hAnsi="Cambria"/>
          <w:sz w:val="20"/>
          <w:szCs w:val="20"/>
          <w:lang w:eastAsia="es-ES"/>
        </w:rPr>
      </w:pPr>
    </w:p>
    <w:p w14:paraId="0557B1CF" w14:textId="55F61B8B" w:rsidR="006541BB" w:rsidRPr="00B204B0" w:rsidRDefault="006541BB" w:rsidP="006541BB">
      <w:pPr>
        <w:jc w:val="both"/>
        <w:rPr>
          <w:rFonts w:ascii="Cambria" w:hAnsi="Cambria"/>
          <w:sz w:val="20"/>
          <w:szCs w:val="20"/>
          <w:lang w:eastAsia="es-ES"/>
        </w:rPr>
      </w:pPr>
      <w:r w:rsidRPr="00B204B0">
        <w:rPr>
          <w:rFonts w:ascii="Cambria" w:hAnsi="Cambria"/>
          <w:b/>
          <w:caps/>
          <w:sz w:val="20"/>
          <w:szCs w:val="20"/>
          <w:lang w:eastAsia="es-ES"/>
        </w:rPr>
        <w:t>Petitioner:</w:t>
      </w:r>
      <w:r w:rsidRPr="00B204B0">
        <w:rPr>
          <w:rFonts w:ascii="Cambria" w:hAnsi="Cambria"/>
          <w:sz w:val="20"/>
          <w:szCs w:val="20"/>
          <w:lang w:eastAsia="es-ES"/>
        </w:rPr>
        <w:tab/>
        <w:t xml:space="preserve">                                                  Juan Francisco Bedregal Villanueva</w:t>
      </w:r>
    </w:p>
    <w:p w14:paraId="104D0920" w14:textId="77777777" w:rsidR="006541BB" w:rsidRPr="00B204B0" w:rsidRDefault="006541BB" w:rsidP="006541BB">
      <w:pPr>
        <w:jc w:val="both"/>
        <w:rPr>
          <w:rFonts w:ascii="Cambria" w:hAnsi="Cambria"/>
          <w:sz w:val="20"/>
          <w:szCs w:val="20"/>
          <w:lang w:eastAsia="es-ES"/>
        </w:rPr>
      </w:pPr>
    </w:p>
    <w:p w14:paraId="7663C991" w14:textId="749C4D5A" w:rsidR="006541BB" w:rsidRPr="00B204B0" w:rsidRDefault="006541BB" w:rsidP="006541BB">
      <w:pPr>
        <w:jc w:val="both"/>
        <w:rPr>
          <w:rFonts w:ascii="Cambria" w:hAnsi="Cambria"/>
          <w:sz w:val="20"/>
          <w:szCs w:val="20"/>
          <w:lang w:eastAsia="es-ES"/>
        </w:rPr>
      </w:pPr>
      <w:r w:rsidRPr="00B204B0">
        <w:rPr>
          <w:rFonts w:ascii="Cambria" w:hAnsi="Cambria"/>
          <w:b/>
          <w:caps/>
          <w:sz w:val="20"/>
          <w:szCs w:val="20"/>
          <w:lang w:eastAsia="es-ES"/>
        </w:rPr>
        <w:t>alleged violations:</w:t>
      </w:r>
      <w:r w:rsidRPr="00B204B0">
        <w:rPr>
          <w:rFonts w:ascii="Cambria" w:hAnsi="Cambria"/>
          <w:caps/>
          <w:sz w:val="20"/>
          <w:szCs w:val="20"/>
          <w:lang w:eastAsia="es-ES"/>
        </w:rPr>
        <w:t xml:space="preserve">                                   DISCRIMINA</w:t>
      </w:r>
      <w:r w:rsidR="00B204B0" w:rsidRPr="00B204B0">
        <w:rPr>
          <w:rFonts w:ascii="Cambria" w:hAnsi="Cambria"/>
          <w:caps/>
          <w:sz w:val="20"/>
          <w:szCs w:val="20"/>
          <w:lang w:eastAsia="es-ES"/>
        </w:rPr>
        <w:t>T</w:t>
      </w:r>
      <w:r w:rsidRPr="00B204B0">
        <w:rPr>
          <w:rFonts w:ascii="Cambria" w:hAnsi="Cambria"/>
          <w:caps/>
          <w:sz w:val="20"/>
          <w:szCs w:val="20"/>
          <w:lang w:eastAsia="es-ES"/>
        </w:rPr>
        <w:t>I</w:t>
      </w:r>
      <w:r w:rsidR="00B204B0" w:rsidRPr="00B204B0">
        <w:rPr>
          <w:rFonts w:ascii="Cambria" w:hAnsi="Cambria"/>
          <w:caps/>
          <w:sz w:val="20"/>
          <w:szCs w:val="20"/>
          <w:lang w:eastAsia="es-ES"/>
        </w:rPr>
        <w:t>O</w:t>
      </w:r>
      <w:r w:rsidRPr="00B204B0">
        <w:rPr>
          <w:rFonts w:ascii="Cambria" w:hAnsi="Cambria"/>
          <w:caps/>
          <w:sz w:val="20"/>
          <w:szCs w:val="20"/>
          <w:lang w:eastAsia="es-ES"/>
        </w:rPr>
        <w:t>N</w:t>
      </w:r>
      <w:r w:rsidRPr="006541BB">
        <w:rPr>
          <w:rStyle w:val="FootnoteReference"/>
          <w:rFonts w:ascii="Cambria" w:hAnsi="Cambria"/>
          <w:caps/>
          <w:sz w:val="20"/>
          <w:szCs w:val="20"/>
          <w:lang w:val="es-ES" w:eastAsia="es-ES"/>
        </w:rPr>
        <w:footnoteReference w:id="2"/>
      </w:r>
    </w:p>
    <w:p w14:paraId="6D38C1AD" w14:textId="77777777" w:rsidR="006541BB" w:rsidRPr="00B204B0" w:rsidRDefault="006541BB" w:rsidP="006541BB">
      <w:pPr>
        <w:jc w:val="both"/>
        <w:rPr>
          <w:rFonts w:ascii="Cambria" w:hAnsi="Cambria"/>
          <w:b/>
          <w:sz w:val="20"/>
          <w:szCs w:val="20"/>
          <w:lang w:eastAsia="es-ES"/>
        </w:rPr>
      </w:pPr>
    </w:p>
    <w:p w14:paraId="356AE962" w14:textId="4FFBBDC2" w:rsidR="006541BB" w:rsidRPr="00B204B0" w:rsidRDefault="00B204B0" w:rsidP="006541BB">
      <w:pPr>
        <w:jc w:val="both"/>
        <w:rPr>
          <w:rFonts w:ascii="Cambria" w:hAnsi="Cambria"/>
          <w:sz w:val="20"/>
          <w:szCs w:val="20"/>
          <w:lang w:eastAsia="es-ES"/>
        </w:rPr>
      </w:pPr>
      <w:r w:rsidRPr="00B204B0">
        <w:rPr>
          <w:rFonts w:ascii="Cambria" w:hAnsi="Cambria"/>
          <w:b/>
          <w:caps/>
          <w:sz w:val="20"/>
          <w:szCs w:val="20"/>
          <w:lang w:eastAsia="es-ES"/>
        </w:rPr>
        <w:t>DATE PROCESSING BEGAN</w:t>
      </w:r>
      <w:r w:rsidR="006541BB" w:rsidRPr="00B204B0">
        <w:rPr>
          <w:rFonts w:ascii="Cambria" w:hAnsi="Cambria"/>
          <w:b/>
          <w:caps/>
          <w:sz w:val="20"/>
          <w:szCs w:val="20"/>
          <w:lang w:eastAsia="es-ES"/>
        </w:rPr>
        <w:t>:</w:t>
      </w:r>
      <w:r w:rsidR="006541BB" w:rsidRPr="00B204B0">
        <w:rPr>
          <w:rFonts w:ascii="Cambria" w:hAnsi="Cambria"/>
          <w:b/>
          <w:caps/>
          <w:sz w:val="20"/>
          <w:szCs w:val="20"/>
          <w:lang w:eastAsia="es-ES"/>
        </w:rPr>
        <w:tab/>
      </w:r>
      <w:r w:rsidRPr="00B204B0">
        <w:rPr>
          <w:rFonts w:ascii="Cambria" w:hAnsi="Cambria"/>
          <w:b/>
          <w:caps/>
          <w:sz w:val="20"/>
          <w:szCs w:val="20"/>
          <w:lang w:eastAsia="es-ES"/>
        </w:rPr>
        <w:t xml:space="preserve">                  </w:t>
      </w:r>
      <w:r w:rsidRPr="00B204B0">
        <w:rPr>
          <w:rFonts w:ascii="Cambria" w:hAnsi="Cambria"/>
          <w:sz w:val="20"/>
          <w:szCs w:val="20"/>
          <w:lang w:eastAsia="es-ES"/>
        </w:rPr>
        <w:t>March 4,</w:t>
      </w:r>
      <w:r w:rsidR="006541BB" w:rsidRPr="00B204B0">
        <w:rPr>
          <w:rFonts w:ascii="Cambria" w:hAnsi="Cambria"/>
          <w:sz w:val="20"/>
          <w:szCs w:val="20"/>
          <w:lang w:eastAsia="es-ES"/>
        </w:rPr>
        <w:t xml:space="preserve"> 2010</w:t>
      </w:r>
    </w:p>
    <w:p w14:paraId="7BBE5693" w14:textId="77777777" w:rsidR="007607C4" w:rsidRPr="00B204B0" w:rsidRDefault="007607C4" w:rsidP="00145EDC">
      <w:pPr>
        <w:tabs>
          <w:tab w:val="center" w:pos="5400"/>
        </w:tabs>
        <w:suppressAutoHyphens/>
        <w:spacing w:line="276" w:lineRule="auto"/>
        <w:rPr>
          <w:rFonts w:asciiTheme="majorHAnsi" w:hAnsiTheme="majorHAnsi"/>
          <w:sz w:val="20"/>
          <w:szCs w:val="20"/>
        </w:rPr>
      </w:pPr>
    </w:p>
    <w:p w14:paraId="02F2507D" w14:textId="6A1C09C2" w:rsidR="00C55560" w:rsidRDefault="00C55560" w:rsidP="001E59B9">
      <w:pPr>
        <w:tabs>
          <w:tab w:val="left" w:pos="2820"/>
        </w:tabs>
        <w:suppressAutoHyphens/>
        <w:spacing w:line="276" w:lineRule="auto"/>
        <w:rPr>
          <w:rFonts w:asciiTheme="majorHAnsi" w:hAnsiTheme="majorHAnsi"/>
          <w:sz w:val="20"/>
          <w:szCs w:val="20"/>
        </w:rPr>
      </w:pPr>
    </w:p>
    <w:p w14:paraId="250670CD" w14:textId="6295F331" w:rsidR="00FA675D" w:rsidRPr="001E59B9" w:rsidRDefault="001E59B9" w:rsidP="00A7544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Pr>
          <w:rFonts w:eastAsia="Times New Roman"/>
          <w:b/>
          <w:bCs/>
          <w:kern w:val="36"/>
          <w:sz w:val="20"/>
          <w:szCs w:val="20"/>
          <w:lang w:eastAsia="es-BO"/>
        </w:rPr>
        <w:t>THE PARTIES’ POSITION</w:t>
      </w:r>
    </w:p>
    <w:p w14:paraId="2D9F792A" w14:textId="6D30516A" w:rsidR="001E59B9" w:rsidRDefault="001E59B9" w:rsidP="001E59B9">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rPr>
      </w:pPr>
    </w:p>
    <w:p w14:paraId="71B04930" w14:textId="3ED0D6FE" w:rsidR="001E59B9" w:rsidRPr="001E59B9" w:rsidRDefault="00743A78" w:rsidP="00A7544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0"/>
        <w:jc w:val="both"/>
        <w:rPr>
          <w:rFonts w:eastAsia="MS Mincho" w:cstheme="minorHAnsi"/>
          <w:b/>
          <w:color w:val="000000" w:themeColor="text1"/>
          <w:sz w:val="20"/>
          <w:szCs w:val="20"/>
        </w:rPr>
      </w:pPr>
      <w:r>
        <w:rPr>
          <w:rFonts w:eastAsia="MS Mincho" w:cstheme="minorHAnsi"/>
          <w:b/>
          <w:color w:val="000000" w:themeColor="text1"/>
          <w:sz w:val="20"/>
          <w:szCs w:val="20"/>
        </w:rPr>
        <w:t>The petitioners position</w:t>
      </w:r>
    </w:p>
    <w:p w14:paraId="03223475"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54D6A08" w14:textId="2BD1F2D9" w:rsidR="00CF5423" w:rsidRPr="00CF5423"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CF5423">
        <w:rPr>
          <w:rFonts w:eastAsia="MS Mincho" w:cstheme="minorHAnsi"/>
          <w:color w:val="000000" w:themeColor="text1"/>
          <w:sz w:val="20"/>
          <w:szCs w:val="20"/>
        </w:rPr>
        <w:t xml:space="preserve">On July 27, 2009, the Inter-American Commission on Human Rights (hereinafter "the Commission" or "IACHR") received a petition presented by Mr. Juan Francisco Bedregal Villanueva (hereinafter "the petitioner" or "the petitioners"), on behalf of Mrs. Adela Villamil (hereinafter "the alleged victim"), which alleged the responsibility of the Bolivian State (hereinafter "the State") for the alleged discrimination and lack of reparation for the murder and subsequent kidnapping and </w:t>
      </w:r>
      <w:r w:rsidR="00111BE0">
        <w:rPr>
          <w:rFonts w:eastAsia="MS Mincho" w:cstheme="minorHAnsi"/>
          <w:color w:val="000000" w:themeColor="text1"/>
          <w:sz w:val="20"/>
          <w:szCs w:val="20"/>
        </w:rPr>
        <w:t xml:space="preserve">forced </w:t>
      </w:r>
      <w:r w:rsidRPr="00CF5423">
        <w:rPr>
          <w:rFonts w:eastAsia="MS Mincho" w:cstheme="minorHAnsi"/>
          <w:color w:val="000000" w:themeColor="text1"/>
          <w:sz w:val="20"/>
          <w:szCs w:val="20"/>
        </w:rPr>
        <w:t>disappearance of the</w:t>
      </w:r>
      <w:r w:rsidR="005B6079">
        <w:rPr>
          <w:rFonts w:eastAsia="MS Mincho" w:cstheme="minorHAnsi"/>
          <w:color w:val="000000" w:themeColor="text1"/>
          <w:sz w:val="20"/>
          <w:szCs w:val="20"/>
        </w:rPr>
        <w:t xml:space="preserve"> remains of the</w:t>
      </w:r>
      <w:r w:rsidRPr="00CF5423">
        <w:rPr>
          <w:rFonts w:eastAsia="MS Mincho" w:cstheme="minorHAnsi"/>
          <w:color w:val="000000" w:themeColor="text1"/>
          <w:sz w:val="20"/>
          <w:szCs w:val="20"/>
        </w:rPr>
        <w:t xml:space="preserve"> alleged victim's spouse, former congressman Juan Carlos Flores Bedregal, on July 17, 1980, by paramilitaries, allegedly under orders from agents of the Bolivian armed forces.</w:t>
      </w:r>
    </w:p>
    <w:p w14:paraId="35E9AA48"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eastAsia="MS Mincho" w:cstheme="minorHAnsi"/>
          <w:color w:val="000000" w:themeColor="text1"/>
          <w:sz w:val="20"/>
          <w:szCs w:val="20"/>
        </w:rPr>
      </w:pPr>
    </w:p>
    <w:p w14:paraId="603667A4" w14:textId="66976FA4" w:rsidR="00CF5423" w:rsidRPr="00CF5423"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CF5423">
        <w:rPr>
          <w:rFonts w:eastAsia="MS Mincho" w:cstheme="minorHAnsi"/>
          <w:color w:val="000000" w:themeColor="text1"/>
          <w:sz w:val="20"/>
          <w:szCs w:val="20"/>
        </w:rPr>
        <w:t xml:space="preserve">According to the petitioner, on the day of the events, a military assault was carried out on the headquarters of the Central Obrera Boliviana, during which Juan Carlos Flores Bedregal and other persons were forced to go out into the street, and the soldiers allegedly fired on the crowd, </w:t>
      </w:r>
      <w:r w:rsidR="00B627B4">
        <w:rPr>
          <w:rFonts w:eastAsia="MS Mincho" w:cstheme="minorHAnsi"/>
          <w:color w:val="000000" w:themeColor="text1"/>
          <w:sz w:val="20"/>
          <w:szCs w:val="20"/>
        </w:rPr>
        <w:t>“</w:t>
      </w:r>
      <w:r w:rsidRPr="00CF5423">
        <w:rPr>
          <w:rFonts w:eastAsia="MS Mincho" w:cstheme="minorHAnsi"/>
          <w:color w:val="000000" w:themeColor="text1"/>
          <w:sz w:val="20"/>
          <w:szCs w:val="20"/>
        </w:rPr>
        <w:t>killing</w:t>
      </w:r>
      <w:r w:rsidR="00B627B4">
        <w:rPr>
          <w:rFonts w:eastAsia="MS Mincho" w:cstheme="minorHAnsi"/>
          <w:color w:val="000000" w:themeColor="text1"/>
          <w:sz w:val="20"/>
          <w:szCs w:val="20"/>
        </w:rPr>
        <w:t xml:space="preserve"> </w:t>
      </w:r>
      <w:r w:rsidR="00B627B4" w:rsidRPr="00CF5423">
        <w:rPr>
          <w:rFonts w:eastAsia="MS Mincho" w:cstheme="minorHAnsi"/>
          <w:color w:val="000000" w:themeColor="text1"/>
          <w:sz w:val="20"/>
          <w:szCs w:val="20"/>
        </w:rPr>
        <w:t>in action</w:t>
      </w:r>
      <w:r w:rsidR="00B627B4">
        <w:rPr>
          <w:rFonts w:eastAsia="MS Mincho" w:cstheme="minorHAnsi"/>
          <w:color w:val="000000" w:themeColor="text1"/>
          <w:sz w:val="20"/>
          <w:szCs w:val="20"/>
        </w:rPr>
        <w:t>”</w:t>
      </w:r>
      <w:r w:rsidRPr="00CF5423">
        <w:rPr>
          <w:rFonts w:eastAsia="MS Mincho" w:cstheme="minorHAnsi"/>
          <w:color w:val="000000" w:themeColor="text1"/>
          <w:sz w:val="20"/>
          <w:szCs w:val="20"/>
        </w:rPr>
        <w:t xml:space="preserve"> Marcelo Quiroga Santa Cruz and Mr. Flores Bedregal. Both bodies were allegedly taken to the Army General Staff, then to the Morgue, and later disappeared, with no certainty as to the location of their remains.</w:t>
      </w:r>
    </w:p>
    <w:p w14:paraId="2232F677"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eastAsia="MS Mincho" w:cstheme="minorHAnsi"/>
          <w:color w:val="000000" w:themeColor="text1"/>
          <w:sz w:val="20"/>
          <w:szCs w:val="20"/>
        </w:rPr>
      </w:pPr>
    </w:p>
    <w:p w14:paraId="1825FEB0" w14:textId="0138EC1A" w:rsidR="00CF5423" w:rsidRPr="00CF5423"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CF5423">
        <w:rPr>
          <w:rFonts w:eastAsia="MS Mincho" w:cstheme="minorHAnsi"/>
          <w:color w:val="000000" w:themeColor="text1"/>
          <w:sz w:val="20"/>
          <w:szCs w:val="20"/>
        </w:rPr>
        <w:t>The petitioner alleged that she was unable to acquire the status of widow due to the impossibility of obtaining a death certificate, which is why she was unable to access the estate bequest and therefore the assets would have been disposed of in favor of third parties.</w:t>
      </w:r>
    </w:p>
    <w:p w14:paraId="04A8560C"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eastAsia="MS Mincho" w:cstheme="minorHAnsi"/>
          <w:color w:val="000000" w:themeColor="text1"/>
          <w:sz w:val="20"/>
          <w:szCs w:val="20"/>
        </w:rPr>
      </w:pPr>
    </w:p>
    <w:p w14:paraId="48F9AF00" w14:textId="6F99438F" w:rsidR="00CF5423" w:rsidRPr="00CF5423"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CF5423">
        <w:rPr>
          <w:rFonts w:eastAsia="MS Mincho" w:cstheme="minorHAnsi"/>
          <w:color w:val="000000" w:themeColor="text1"/>
          <w:sz w:val="20"/>
          <w:szCs w:val="20"/>
        </w:rPr>
        <w:t xml:space="preserve">The petitioner alleged that in 1995, the National Congress resolved </w:t>
      </w:r>
      <w:r w:rsidR="00560BCE" w:rsidRPr="00CF5423">
        <w:rPr>
          <w:rFonts w:eastAsia="MS Mincho" w:cstheme="minorHAnsi"/>
          <w:color w:val="000000" w:themeColor="text1"/>
          <w:sz w:val="20"/>
          <w:szCs w:val="20"/>
        </w:rPr>
        <w:t>those nine widows of social leaders</w:t>
      </w:r>
      <w:r w:rsidRPr="00CF5423">
        <w:rPr>
          <w:rFonts w:eastAsia="MS Mincho" w:cstheme="minorHAnsi"/>
          <w:color w:val="000000" w:themeColor="text1"/>
          <w:sz w:val="20"/>
          <w:szCs w:val="20"/>
        </w:rPr>
        <w:t>, including the widow of Marcelo Quiroga, would obtain a lifetime pension equivalent to the salary of a national representative. However, the alleged victim was not included in the decree in favor of the wives of the other leaders. The petitioner had made several approaches to the executive</w:t>
      </w:r>
      <w:r w:rsidR="00B627B4">
        <w:rPr>
          <w:rFonts w:eastAsia="MS Mincho" w:cstheme="minorHAnsi"/>
          <w:color w:val="000000" w:themeColor="text1"/>
          <w:sz w:val="20"/>
          <w:szCs w:val="20"/>
        </w:rPr>
        <w:t xml:space="preserve"> power</w:t>
      </w:r>
      <w:r w:rsidRPr="00CF5423">
        <w:rPr>
          <w:rFonts w:eastAsia="MS Mincho" w:cstheme="minorHAnsi"/>
          <w:color w:val="000000" w:themeColor="text1"/>
          <w:sz w:val="20"/>
          <w:szCs w:val="20"/>
        </w:rPr>
        <w:t xml:space="preserve"> and the legislature without success. In this regard, they stated that the purpose of their petition was "to obtain treatment similar to that of the other leaders and martyrs of Bolivian democracy," with the benefit of a lifetime pension that was granted to the other wives of the social leaders who died in this context.</w:t>
      </w:r>
    </w:p>
    <w:p w14:paraId="2DBB6606"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DE22516" w14:textId="179177C5" w:rsidR="00DA37B6" w:rsidRPr="00743A78" w:rsidRDefault="001E59B9" w:rsidP="00A7544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0"/>
        <w:jc w:val="both"/>
        <w:rPr>
          <w:rFonts w:eastAsia="MS Mincho" w:cstheme="minorHAnsi"/>
          <w:b/>
          <w:bCs/>
          <w:color w:val="000000" w:themeColor="text1"/>
          <w:sz w:val="20"/>
          <w:szCs w:val="20"/>
        </w:rPr>
      </w:pPr>
      <w:r w:rsidRPr="00743A78">
        <w:rPr>
          <w:rFonts w:eastAsia="MS Mincho" w:cstheme="minorHAnsi"/>
          <w:b/>
          <w:bCs/>
          <w:color w:val="000000" w:themeColor="text1"/>
          <w:sz w:val="20"/>
          <w:szCs w:val="20"/>
        </w:rPr>
        <w:t>T</w:t>
      </w:r>
      <w:r w:rsidR="00743A78" w:rsidRPr="00743A78">
        <w:rPr>
          <w:rFonts w:eastAsia="MS Mincho" w:cstheme="minorHAnsi"/>
          <w:b/>
          <w:bCs/>
          <w:color w:val="000000" w:themeColor="text1"/>
          <w:sz w:val="20"/>
          <w:szCs w:val="20"/>
        </w:rPr>
        <w:t>he State’s position</w:t>
      </w:r>
    </w:p>
    <w:p w14:paraId="470D59C5"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5F2A7E2F" w14:textId="43DB441C" w:rsidR="00CF5423" w:rsidRPr="00111BE0"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111BE0">
        <w:rPr>
          <w:rFonts w:eastAsia="MS Mincho" w:cstheme="minorHAnsi"/>
          <w:color w:val="000000" w:themeColor="text1"/>
          <w:sz w:val="20"/>
          <w:szCs w:val="20"/>
        </w:rPr>
        <w:t xml:space="preserve">The State alleged that it has made efforts to ensure that the acts </w:t>
      </w:r>
      <w:r w:rsidR="004112C0" w:rsidRPr="00111BE0">
        <w:rPr>
          <w:rFonts w:eastAsia="MS Mincho" w:cstheme="minorHAnsi"/>
          <w:color w:val="000000" w:themeColor="text1"/>
          <w:sz w:val="20"/>
          <w:szCs w:val="20"/>
        </w:rPr>
        <w:t>that took place during the</w:t>
      </w:r>
      <w:r w:rsidRPr="00111BE0">
        <w:rPr>
          <w:rFonts w:eastAsia="MS Mincho" w:cstheme="minorHAnsi"/>
          <w:color w:val="000000" w:themeColor="text1"/>
          <w:sz w:val="20"/>
          <w:szCs w:val="20"/>
        </w:rPr>
        <w:t xml:space="preserve"> dictatorship do not go unpunished and that it has punished those responsible for the acts and financially assisted the victims' next of kin. The State alleged that there was no violation of the right to equality before the law established in Article 24 of the American Convention on Human Rights, given that the alleged </w:t>
      </w:r>
      <w:r w:rsidRPr="00111BE0">
        <w:rPr>
          <w:rFonts w:eastAsia="MS Mincho" w:cstheme="minorHAnsi"/>
          <w:color w:val="000000" w:themeColor="text1"/>
          <w:sz w:val="20"/>
          <w:szCs w:val="20"/>
        </w:rPr>
        <w:lastRenderedPageBreak/>
        <w:t xml:space="preserve">discrimination denounced by the petitioner refers to resolutions that benefit widows and martyrs of democracy in Bolivia, of which Mrs. Villamil was not a member. The State also indicated that Mrs. Villamil's situation cannot be compared to that of Mrs. Quiroga Santa Cruz, since they are situations that respond to different realities and that the alleged victim could go to the respective instances to obtain the possible economic benefits by following the corresponding requirements and procedures before the pertinent public instances. </w:t>
      </w:r>
      <w:r w:rsidR="00111BE0" w:rsidRPr="00111BE0">
        <w:rPr>
          <w:rFonts w:eastAsia="MS Mincho" w:cstheme="minorHAnsi"/>
          <w:color w:val="000000" w:themeColor="text1"/>
          <w:sz w:val="20"/>
          <w:szCs w:val="20"/>
        </w:rPr>
        <w:t xml:space="preserve">In that sense, the </w:t>
      </w:r>
      <w:r w:rsidRPr="00111BE0">
        <w:rPr>
          <w:rFonts w:eastAsia="MS Mincho" w:cstheme="minorHAnsi"/>
          <w:color w:val="000000" w:themeColor="text1"/>
          <w:sz w:val="20"/>
          <w:szCs w:val="20"/>
        </w:rPr>
        <w:t xml:space="preserve">State alleged that there was no reason for discrimination against Mrs. Villamil, since, when the resolutions were </w:t>
      </w:r>
      <w:r w:rsidR="004112C0" w:rsidRPr="00111BE0">
        <w:rPr>
          <w:rFonts w:eastAsia="MS Mincho" w:cstheme="minorHAnsi"/>
          <w:color w:val="000000" w:themeColor="text1"/>
          <w:sz w:val="20"/>
          <w:szCs w:val="20"/>
        </w:rPr>
        <w:t>approved</w:t>
      </w:r>
      <w:r w:rsidRPr="00111BE0">
        <w:rPr>
          <w:rFonts w:eastAsia="MS Mincho" w:cstheme="minorHAnsi"/>
          <w:color w:val="000000" w:themeColor="text1"/>
          <w:sz w:val="20"/>
          <w:szCs w:val="20"/>
        </w:rPr>
        <w:t xml:space="preserve"> for the benefit of the relatives of those who disappeared during the dictatorship, the alleged victim "was not in the country, nor was she residing there".</w:t>
      </w:r>
    </w:p>
    <w:p w14:paraId="7C37C1FD"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eastAsia="MS Mincho" w:cstheme="minorHAnsi"/>
          <w:color w:val="000000" w:themeColor="text1"/>
          <w:sz w:val="20"/>
          <w:szCs w:val="20"/>
        </w:rPr>
      </w:pPr>
    </w:p>
    <w:p w14:paraId="0219FCDA" w14:textId="4D613D86" w:rsidR="00CF5423" w:rsidRPr="00CF5423"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CF5423">
        <w:rPr>
          <w:rFonts w:eastAsia="MS Mincho" w:cstheme="minorHAnsi"/>
          <w:color w:val="000000" w:themeColor="text1"/>
          <w:sz w:val="20"/>
          <w:szCs w:val="20"/>
        </w:rPr>
        <w:t>On the other hand, the State stated that the main facts that motivated the petition, such as the murder and forced disappearance of Juan Carlos Flores Bedregal, were already being dealt with by the IACHR in case No. 12</w:t>
      </w:r>
      <w:r w:rsidR="004112C0">
        <w:rPr>
          <w:rFonts w:eastAsia="MS Mincho" w:cstheme="minorHAnsi"/>
          <w:color w:val="000000" w:themeColor="text1"/>
          <w:sz w:val="20"/>
          <w:szCs w:val="20"/>
        </w:rPr>
        <w:t>.</w:t>
      </w:r>
      <w:r w:rsidRPr="00CF5423">
        <w:rPr>
          <w:rFonts w:eastAsia="MS Mincho" w:cstheme="minorHAnsi"/>
          <w:color w:val="000000" w:themeColor="text1"/>
          <w:sz w:val="20"/>
          <w:szCs w:val="20"/>
        </w:rPr>
        <w:t>709, so a duplication of proceedings</w:t>
      </w:r>
      <w:r w:rsidR="004112C0">
        <w:rPr>
          <w:rFonts w:eastAsia="MS Mincho" w:cstheme="minorHAnsi"/>
          <w:color w:val="000000" w:themeColor="text1"/>
          <w:sz w:val="20"/>
          <w:szCs w:val="20"/>
        </w:rPr>
        <w:t xml:space="preserve"> would exist</w:t>
      </w:r>
      <w:r w:rsidRPr="00CF5423">
        <w:rPr>
          <w:rFonts w:eastAsia="MS Mincho" w:cstheme="minorHAnsi"/>
          <w:color w:val="000000" w:themeColor="text1"/>
          <w:sz w:val="20"/>
          <w:szCs w:val="20"/>
        </w:rPr>
        <w:t xml:space="preserve">. </w:t>
      </w:r>
    </w:p>
    <w:p w14:paraId="3A05E713"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eastAsia="MS Mincho" w:cstheme="minorHAnsi"/>
          <w:color w:val="000000" w:themeColor="text1"/>
          <w:sz w:val="20"/>
          <w:szCs w:val="20"/>
        </w:rPr>
      </w:pPr>
    </w:p>
    <w:p w14:paraId="0F7EA05F" w14:textId="231575C4" w:rsidR="00CF5423" w:rsidRPr="00CF5423"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cstheme="minorHAnsi"/>
          <w:color w:val="000000" w:themeColor="text1"/>
          <w:sz w:val="20"/>
          <w:szCs w:val="20"/>
        </w:rPr>
      </w:pPr>
      <w:r w:rsidRPr="00CF5423">
        <w:rPr>
          <w:rFonts w:eastAsia="MS Mincho" w:cstheme="minorHAnsi"/>
          <w:color w:val="000000" w:themeColor="text1"/>
          <w:sz w:val="20"/>
          <w:szCs w:val="20"/>
        </w:rPr>
        <w:t xml:space="preserve">In view of the foregoing, the Bolivian State stated that there were no well-founded reasons to prove the discrimination alleged by the petitioner and that the remedies under domestic jurisdiction had not yet been filed or exhausted. </w:t>
      </w:r>
    </w:p>
    <w:p w14:paraId="07DB062D" w14:textId="77777777" w:rsidR="00CF5423" w:rsidRPr="00CF5423" w:rsidRDefault="00CF5423" w:rsidP="00CF542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9228F6B" w14:textId="57D19D40" w:rsidR="00FA675D" w:rsidRDefault="001E59B9" w:rsidP="00A754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Pr>
          <w:rFonts w:ascii="Cambria" w:eastAsia="MS Mincho" w:hAnsi="Cambria" w:cstheme="minorHAnsi"/>
          <w:b/>
          <w:color w:val="000000" w:themeColor="text1"/>
          <w:sz w:val="20"/>
          <w:szCs w:val="20"/>
          <w:lang w:val="es-CO"/>
        </w:rPr>
        <w:t>PROCESSING BY THE IACHR</w:t>
      </w:r>
    </w:p>
    <w:p w14:paraId="2DE4B3EB"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6B94FCF6" w14:textId="19E9ED8D" w:rsidR="00111BE0"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left="0" w:firstLine="720"/>
        <w:jc w:val="both"/>
        <w:rPr>
          <w:rFonts w:eastAsia="MS Mincho" w:cstheme="minorHAnsi"/>
          <w:color w:val="000000" w:themeColor="text1"/>
          <w:sz w:val="20"/>
          <w:szCs w:val="20"/>
        </w:rPr>
      </w:pPr>
      <w:r w:rsidRPr="00111BE0">
        <w:rPr>
          <w:rFonts w:eastAsia="MS Mincho" w:cstheme="minorHAnsi"/>
          <w:color w:val="000000" w:themeColor="text1"/>
          <w:sz w:val="20"/>
          <w:szCs w:val="20"/>
        </w:rPr>
        <w:t xml:space="preserve">The IACHR received the petition on July 27, 2009, which was </w:t>
      </w:r>
      <w:r w:rsidR="00524DFE" w:rsidRPr="00111BE0">
        <w:rPr>
          <w:rFonts w:eastAsia="MS Mincho" w:cstheme="minorHAnsi"/>
          <w:color w:val="000000" w:themeColor="text1"/>
          <w:sz w:val="20"/>
          <w:szCs w:val="20"/>
        </w:rPr>
        <w:t>submitted</w:t>
      </w:r>
      <w:r w:rsidRPr="00111BE0">
        <w:rPr>
          <w:rFonts w:eastAsia="MS Mincho" w:cstheme="minorHAnsi"/>
          <w:color w:val="000000" w:themeColor="text1"/>
          <w:sz w:val="20"/>
          <w:szCs w:val="20"/>
        </w:rPr>
        <w:t xml:space="preserve"> to the State on March 4, 2010. On January 31, 2011, the State </w:t>
      </w:r>
      <w:r w:rsidR="00524DFE" w:rsidRPr="00111BE0">
        <w:rPr>
          <w:rFonts w:eastAsia="MS Mincho" w:cstheme="minorHAnsi"/>
          <w:color w:val="000000" w:themeColor="text1"/>
          <w:sz w:val="20"/>
          <w:szCs w:val="20"/>
        </w:rPr>
        <w:t>presented</w:t>
      </w:r>
      <w:r w:rsidRPr="00111BE0">
        <w:rPr>
          <w:rFonts w:eastAsia="MS Mincho" w:cstheme="minorHAnsi"/>
          <w:color w:val="000000" w:themeColor="text1"/>
          <w:sz w:val="20"/>
          <w:szCs w:val="20"/>
        </w:rPr>
        <w:t xml:space="preserve"> its observations on the admissibility of the case. </w:t>
      </w:r>
    </w:p>
    <w:p w14:paraId="3E4AEAA0" w14:textId="77777777" w:rsidR="00111BE0" w:rsidRDefault="00111BE0" w:rsidP="00111B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left="0" w:firstLine="720"/>
        <w:jc w:val="both"/>
        <w:rPr>
          <w:rFonts w:eastAsia="MS Mincho" w:cstheme="minorHAnsi"/>
          <w:color w:val="000000" w:themeColor="text1"/>
          <w:sz w:val="20"/>
          <w:szCs w:val="20"/>
        </w:rPr>
      </w:pPr>
    </w:p>
    <w:p w14:paraId="1BD01CB4" w14:textId="52A2BD89" w:rsidR="00111BE0" w:rsidRPr="00111BE0" w:rsidRDefault="00CF5423"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left="0" w:firstLine="720"/>
        <w:jc w:val="both"/>
        <w:rPr>
          <w:rFonts w:eastAsia="MS Mincho" w:cstheme="minorHAnsi"/>
          <w:color w:val="000000" w:themeColor="text1"/>
          <w:sz w:val="20"/>
          <w:szCs w:val="20"/>
        </w:rPr>
      </w:pPr>
      <w:r w:rsidRPr="00111BE0">
        <w:rPr>
          <w:rFonts w:eastAsia="MS Mincho" w:cstheme="minorBidi"/>
          <w:color w:val="000000" w:themeColor="text1"/>
          <w:sz w:val="20"/>
          <w:szCs w:val="20"/>
        </w:rPr>
        <w:t xml:space="preserve">In 2014, the parties initiated a friendly settlement procedure, and entered into a first friendly settlement agreement on October 22, 2020 (hereinafter "agreement", "friendly settlement" or "ASA"), which the Commission considered </w:t>
      </w:r>
      <w:r w:rsidR="00317C64" w:rsidRPr="00111BE0">
        <w:rPr>
          <w:rFonts w:eastAsia="MS Mincho" w:cstheme="minorBidi"/>
          <w:color w:val="000000" w:themeColor="text1"/>
          <w:sz w:val="20"/>
          <w:szCs w:val="20"/>
        </w:rPr>
        <w:t xml:space="preserve">it was not adjusted to the determinations made </w:t>
      </w:r>
      <w:r w:rsidRPr="00111BE0">
        <w:rPr>
          <w:rFonts w:eastAsia="MS Mincho" w:cstheme="minorBidi"/>
          <w:color w:val="000000" w:themeColor="text1"/>
          <w:sz w:val="20"/>
          <w:szCs w:val="20"/>
        </w:rPr>
        <w:t xml:space="preserve">in its Merits Report </w:t>
      </w:r>
      <w:r w:rsidRPr="00B721CE">
        <w:rPr>
          <w:rFonts w:eastAsia="MS Mincho" w:cstheme="minorBidi"/>
          <w:sz w:val="20"/>
          <w:szCs w:val="20"/>
        </w:rPr>
        <w:t xml:space="preserve">No. </w:t>
      </w:r>
      <w:hyperlink r:id="rId17" w:history="1">
        <w:r w:rsidRPr="00B721CE">
          <w:rPr>
            <w:rStyle w:val="Hyperlink"/>
            <w:rFonts w:eastAsia="Times New Roman" w:cs="Times New Roman"/>
            <w:color w:val="0000FF"/>
            <w:sz w:val="20"/>
            <w:szCs w:val="20"/>
            <w:bdr w:val="none" w:sz="0" w:space="0" w:color="auto"/>
            <w:lang w:eastAsia="en-US"/>
          </w:rPr>
          <w:t>60/18</w:t>
        </w:r>
      </w:hyperlink>
      <w:r w:rsidRPr="00111BE0">
        <w:rPr>
          <w:rFonts w:eastAsia="MS Mincho" w:cstheme="minorBidi"/>
          <w:color w:val="000000" w:themeColor="text1"/>
          <w:sz w:val="20"/>
          <w:szCs w:val="20"/>
        </w:rPr>
        <w:t xml:space="preserve">, issued in Case 12.709 Juan Carlos Flores Bedregal. In this regard, it should be noted that, in said report, the Commission </w:t>
      </w:r>
      <w:r w:rsidR="00317C64" w:rsidRPr="00111BE0">
        <w:rPr>
          <w:rFonts w:eastAsia="MS Mincho" w:cstheme="minorBidi"/>
          <w:color w:val="000000" w:themeColor="text1"/>
          <w:sz w:val="20"/>
          <w:szCs w:val="20"/>
        </w:rPr>
        <w:t>established that Mr. Flores Bedregal was the victim of a forced disappearance, and that “to date there has been no complete clarification of what happened […], including the whereabouts of his mortal remains, a situation that has resulted from the activation of multiple mechanisms of concealment".</w:t>
      </w:r>
    </w:p>
    <w:p w14:paraId="3E6C5FE6" w14:textId="77777777" w:rsidR="00111BE0" w:rsidRPr="00111BE0" w:rsidRDefault="00111BE0" w:rsidP="00111B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firstLine="720"/>
        <w:jc w:val="both"/>
        <w:rPr>
          <w:rFonts w:eastAsia="MS Mincho" w:cstheme="minorHAnsi"/>
          <w:color w:val="000000" w:themeColor="text1"/>
          <w:sz w:val="20"/>
          <w:szCs w:val="20"/>
        </w:rPr>
      </w:pPr>
    </w:p>
    <w:p w14:paraId="107827BE" w14:textId="45063FF3" w:rsidR="00F549E2" w:rsidRPr="00111BE0" w:rsidRDefault="00F549E2" w:rsidP="00A7544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left="0" w:firstLine="720"/>
        <w:jc w:val="both"/>
        <w:rPr>
          <w:rFonts w:eastAsia="MS Mincho" w:cstheme="minorHAnsi"/>
          <w:color w:val="000000" w:themeColor="text1"/>
          <w:sz w:val="20"/>
          <w:szCs w:val="20"/>
        </w:rPr>
      </w:pPr>
      <w:r w:rsidRPr="00111BE0">
        <w:rPr>
          <w:rFonts w:eastAsia="MS Mincho" w:cstheme="minorBidi"/>
          <w:color w:val="000000" w:themeColor="text1"/>
          <w:sz w:val="20"/>
          <w:szCs w:val="20"/>
        </w:rPr>
        <w:t xml:space="preserve">In view of the foregoing, </w:t>
      </w:r>
      <w:r w:rsidR="007E29ED" w:rsidRPr="00111BE0">
        <w:rPr>
          <w:rFonts w:eastAsia="MS Mincho" w:cstheme="minorBidi"/>
          <w:color w:val="000000" w:themeColor="text1"/>
          <w:sz w:val="20"/>
          <w:szCs w:val="20"/>
        </w:rPr>
        <w:t xml:space="preserve">the Commission informed the parties on November 4, 2020, that since the signed FSA described the facts as a "murder", it could not issue an approval report validating a friendly settlement agreement that did not recognize the constitutive elements of the violations of human rights declared in </w:t>
      </w:r>
      <w:r w:rsidR="007E29ED" w:rsidRPr="00111BE0">
        <w:rPr>
          <w:rFonts w:eastAsia="MS Mincho" w:cstheme="minorBidi"/>
          <w:i/>
          <w:iCs/>
          <w:color w:val="000000" w:themeColor="text1"/>
          <w:sz w:val="20"/>
          <w:szCs w:val="20"/>
        </w:rPr>
        <w:t>Case 12,709 Juan Flores Bedregal</w:t>
      </w:r>
      <w:r w:rsidR="007E29ED" w:rsidRPr="00111BE0">
        <w:rPr>
          <w:rFonts w:eastAsia="MS Mincho" w:cstheme="minorBidi"/>
          <w:color w:val="000000" w:themeColor="text1"/>
          <w:sz w:val="20"/>
          <w:szCs w:val="20"/>
        </w:rPr>
        <w:t>, and that refer to a forced disappearance and the shortcomings in the investigation. In the same sense, the Commission informed the parties that it could not validate, either, that the parties agreed in an FSA that the State has complied with its duty to investigate, when to date, the whereabouts of the victim or his remains, and the material truth of the facts have not been clarified, nor have those responsible for the crime of forced disappearance been tried.</w:t>
      </w:r>
    </w:p>
    <w:p w14:paraId="6C99698E" w14:textId="77777777" w:rsidR="00F549E2" w:rsidRPr="00F549E2" w:rsidRDefault="00F549E2" w:rsidP="00111B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firstLine="720"/>
        <w:jc w:val="both"/>
        <w:rPr>
          <w:rFonts w:ascii="Cambria" w:eastAsia="MS Mincho" w:hAnsi="Cambria" w:cstheme="minorBidi"/>
          <w:color w:val="000000" w:themeColor="text1"/>
          <w:sz w:val="20"/>
          <w:szCs w:val="20"/>
        </w:rPr>
      </w:pPr>
    </w:p>
    <w:p w14:paraId="54735C01" w14:textId="1CBB3E96" w:rsidR="00F549E2" w:rsidRPr="00F549E2" w:rsidRDefault="00F549E2" w:rsidP="00A7544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left="0" w:firstLine="720"/>
        <w:jc w:val="both"/>
        <w:rPr>
          <w:rFonts w:eastAsia="MS Mincho" w:cstheme="minorBidi"/>
          <w:color w:val="000000" w:themeColor="text1"/>
          <w:sz w:val="20"/>
          <w:szCs w:val="20"/>
        </w:rPr>
      </w:pPr>
      <w:r w:rsidRPr="5AF39A28">
        <w:rPr>
          <w:rFonts w:eastAsia="MS Mincho" w:cstheme="minorBidi"/>
          <w:color w:val="000000" w:themeColor="text1"/>
          <w:sz w:val="20"/>
          <w:szCs w:val="20"/>
        </w:rPr>
        <w:t>In this regard, on March 17, 2021, the State s</w:t>
      </w:r>
      <w:r w:rsidR="0000589B" w:rsidRPr="5AF39A28">
        <w:rPr>
          <w:rFonts w:eastAsia="MS Mincho" w:cstheme="minorBidi"/>
          <w:color w:val="000000" w:themeColor="text1"/>
          <w:sz w:val="20"/>
          <w:szCs w:val="20"/>
        </w:rPr>
        <w:t>ubmitted</w:t>
      </w:r>
      <w:r w:rsidRPr="5AF39A28">
        <w:rPr>
          <w:rFonts w:eastAsia="MS Mincho" w:cstheme="minorBidi"/>
          <w:color w:val="000000" w:themeColor="text1"/>
          <w:sz w:val="20"/>
          <w:szCs w:val="20"/>
        </w:rPr>
        <w:t xml:space="preserve"> a second draft of the </w:t>
      </w:r>
      <w:r w:rsidR="0000589B" w:rsidRPr="5AF39A28">
        <w:rPr>
          <w:rFonts w:eastAsia="MS Mincho" w:cstheme="minorBidi"/>
          <w:color w:val="000000" w:themeColor="text1"/>
          <w:sz w:val="20"/>
          <w:szCs w:val="20"/>
        </w:rPr>
        <w:t>F</w:t>
      </w:r>
      <w:r w:rsidRPr="5AF39A28">
        <w:rPr>
          <w:rFonts w:eastAsia="MS Mincho" w:cstheme="minorBidi"/>
          <w:color w:val="000000" w:themeColor="text1"/>
          <w:sz w:val="20"/>
          <w:szCs w:val="20"/>
        </w:rPr>
        <w:t xml:space="preserve">SA, which the Commission did not consider </w:t>
      </w:r>
      <w:r w:rsidR="0000589B" w:rsidRPr="5AF39A28">
        <w:rPr>
          <w:rFonts w:eastAsia="MS Mincho" w:cstheme="minorBidi"/>
          <w:color w:val="000000" w:themeColor="text1"/>
          <w:sz w:val="20"/>
          <w:szCs w:val="20"/>
        </w:rPr>
        <w:t>could be homologated</w:t>
      </w:r>
      <w:r w:rsidRPr="5AF39A28">
        <w:rPr>
          <w:rFonts w:eastAsia="MS Mincho" w:cstheme="minorBidi"/>
          <w:color w:val="000000" w:themeColor="text1"/>
          <w:sz w:val="20"/>
          <w:szCs w:val="20"/>
        </w:rPr>
        <w:t xml:space="preserve"> either, and therefore, on May 5, 2021, it reiterated the impossibility of homologation of the </w:t>
      </w:r>
      <w:r w:rsidR="0000589B" w:rsidRPr="5AF39A28">
        <w:rPr>
          <w:rFonts w:eastAsia="MS Mincho" w:cstheme="minorBidi"/>
          <w:color w:val="000000" w:themeColor="text1"/>
          <w:sz w:val="20"/>
          <w:szCs w:val="20"/>
        </w:rPr>
        <w:t>F</w:t>
      </w:r>
      <w:r w:rsidRPr="5AF39A28">
        <w:rPr>
          <w:rFonts w:eastAsia="MS Mincho" w:cstheme="minorBidi"/>
          <w:color w:val="000000" w:themeColor="text1"/>
          <w:sz w:val="20"/>
          <w:szCs w:val="20"/>
        </w:rPr>
        <w:t xml:space="preserve">SA to the parties and the need for its amendment. </w:t>
      </w:r>
    </w:p>
    <w:p w14:paraId="689D7019" w14:textId="77777777" w:rsidR="00F549E2" w:rsidRPr="00F549E2" w:rsidRDefault="00F549E2" w:rsidP="00111B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s>
        <w:ind w:firstLine="720"/>
        <w:jc w:val="both"/>
        <w:rPr>
          <w:rFonts w:ascii="Cambria" w:eastAsia="MS Mincho" w:hAnsi="Cambria" w:cstheme="minorBidi"/>
          <w:color w:val="000000" w:themeColor="text1"/>
          <w:sz w:val="20"/>
          <w:szCs w:val="20"/>
        </w:rPr>
      </w:pPr>
    </w:p>
    <w:p w14:paraId="5FDCED5F" w14:textId="77777777" w:rsidR="006D6F2E" w:rsidRDefault="00F549E2" w:rsidP="00A7544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 w:val="num" w:pos="1440"/>
        </w:tabs>
        <w:ind w:left="0" w:firstLine="720"/>
        <w:jc w:val="both"/>
        <w:rPr>
          <w:rFonts w:eastAsia="MS Mincho" w:cstheme="minorBidi"/>
          <w:color w:val="000000" w:themeColor="text1"/>
          <w:sz w:val="20"/>
          <w:szCs w:val="20"/>
        </w:rPr>
      </w:pPr>
      <w:r w:rsidRPr="006D6F2E">
        <w:rPr>
          <w:rFonts w:eastAsia="MS Mincho" w:cstheme="minorBidi"/>
          <w:color w:val="000000" w:themeColor="text1"/>
          <w:sz w:val="20"/>
          <w:szCs w:val="20"/>
        </w:rPr>
        <w:t>On July 9, 2021, the parties signed a new version of the friendly settlement agreement, in which they decided to maintain the factual framework of the "death" of Deputy Flores Bedregal and to include a withdrawal clause for the petitioner once the agreed measures had been complied with</w:t>
      </w:r>
      <w:r w:rsidR="007E29ED">
        <w:rPr>
          <w:rStyle w:val="FootnoteReference"/>
          <w:rFonts w:eastAsia="MS Mincho"/>
          <w:color w:val="000000" w:themeColor="text1"/>
          <w:sz w:val="20"/>
          <w:szCs w:val="20"/>
        </w:rPr>
        <w:footnoteReference w:id="3"/>
      </w:r>
      <w:r w:rsidRPr="006D6F2E">
        <w:rPr>
          <w:rFonts w:eastAsia="MS Mincho" w:cstheme="minorBidi"/>
          <w:color w:val="000000" w:themeColor="text1"/>
          <w:sz w:val="20"/>
          <w:szCs w:val="20"/>
        </w:rPr>
        <w:t>.</w:t>
      </w:r>
      <w:r w:rsidR="003C5660" w:rsidRPr="006D6F2E">
        <w:rPr>
          <w:rFonts w:eastAsia="MS Mincho" w:cstheme="minorBidi"/>
          <w:color w:val="000000" w:themeColor="text1"/>
          <w:sz w:val="20"/>
          <w:szCs w:val="20"/>
        </w:rPr>
        <w:t xml:space="preserve"> The aforementioned, in</w:t>
      </w:r>
      <w:r w:rsidR="007E29ED" w:rsidRPr="006D6F2E">
        <w:rPr>
          <w:rFonts w:eastAsia="MS Mincho" w:cstheme="minorBidi"/>
          <w:color w:val="000000" w:themeColor="text1"/>
          <w:sz w:val="20"/>
          <w:szCs w:val="20"/>
        </w:rPr>
        <w:t xml:space="preserve"> the understanding that said agreement could not be approved and the IACHR could not participate in any act related to said agreement in view of the incompatibility with the determinations of the report on the merits of </w:t>
      </w:r>
      <w:r w:rsidR="003C5660" w:rsidRPr="006D6F2E">
        <w:rPr>
          <w:rFonts w:eastAsia="MS Mincho" w:cstheme="minorBidi"/>
          <w:i/>
          <w:iCs/>
          <w:color w:val="000000" w:themeColor="text1"/>
          <w:sz w:val="20"/>
          <w:szCs w:val="20"/>
        </w:rPr>
        <w:t>C</w:t>
      </w:r>
      <w:r w:rsidR="007E29ED" w:rsidRPr="006D6F2E">
        <w:rPr>
          <w:rFonts w:eastAsia="MS Mincho" w:cstheme="minorBidi"/>
          <w:i/>
          <w:iCs/>
          <w:color w:val="000000" w:themeColor="text1"/>
          <w:sz w:val="20"/>
          <w:szCs w:val="20"/>
        </w:rPr>
        <w:t>ase No. 12,709</w:t>
      </w:r>
      <w:r w:rsidR="003C5660" w:rsidRPr="006D6F2E">
        <w:rPr>
          <w:rFonts w:eastAsia="MS Mincho" w:cstheme="minorBidi"/>
          <w:color w:val="000000" w:themeColor="text1"/>
          <w:sz w:val="20"/>
          <w:szCs w:val="20"/>
        </w:rPr>
        <w:t>.</w:t>
      </w:r>
      <w:r w:rsidR="006D6F2E" w:rsidRPr="006D6F2E">
        <w:rPr>
          <w:rFonts w:eastAsia="MS Mincho" w:cstheme="minorBidi"/>
          <w:color w:val="000000" w:themeColor="text1"/>
          <w:sz w:val="20"/>
          <w:szCs w:val="20"/>
        </w:rPr>
        <w:t xml:space="preserve"> </w:t>
      </w:r>
    </w:p>
    <w:p w14:paraId="398B508B" w14:textId="77777777" w:rsidR="006D6F2E" w:rsidRPr="006D6F2E" w:rsidRDefault="006D6F2E" w:rsidP="006D6F2E">
      <w:pPr>
        <w:pStyle w:val="ListParagraph"/>
        <w:rPr>
          <w:rFonts w:eastAsia="MS Mincho" w:cstheme="minorBidi"/>
          <w:color w:val="000000" w:themeColor="text1"/>
          <w:sz w:val="20"/>
          <w:szCs w:val="20"/>
        </w:rPr>
      </w:pPr>
    </w:p>
    <w:p w14:paraId="75A4318E" w14:textId="542B7C2F" w:rsidR="00F549E2" w:rsidRPr="006D6F2E" w:rsidRDefault="003C5660" w:rsidP="00A7544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810"/>
          <w:tab w:val="num" w:pos="1440"/>
        </w:tabs>
        <w:ind w:left="0" w:firstLine="720"/>
        <w:jc w:val="both"/>
        <w:rPr>
          <w:rFonts w:eastAsia="MS Mincho" w:cstheme="minorBidi"/>
          <w:color w:val="000000" w:themeColor="text1"/>
          <w:sz w:val="20"/>
          <w:szCs w:val="20"/>
        </w:rPr>
      </w:pPr>
      <w:r w:rsidRPr="006D6F2E">
        <w:rPr>
          <w:rFonts w:eastAsia="MS Mincho" w:cstheme="minorBidi"/>
          <w:color w:val="000000" w:themeColor="text1"/>
          <w:sz w:val="20"/>
          <w:szCs w:val="20"/>
        </w:rPr>
        <w:lastRenderedPageBreak/>
        <w:t>During the beginning of 2022,</w:t>
      </w:r>
      <w:r w:rsidR="00F549E2" w:rsidRPr="006D6F2E">
        <w:rPr>
          <w:rFonts w:eastAsia="MS Mincho" w:cstheme="minorBidi"/>
          <w:color w:val="000000" w:themeColor="text1"/>
          <w:sz w:val="20"/>
          <w:szCs w:val="20"/>
        </w:rPr>
        <w:t xml:space="preserve"> the technical team</w:t>
      </w:r>
      <w:r w:rsidR="006D6F2E">
        <w:rPr>
          <w:rFonts w:eastAsia="MS Mincho" w:cstheme="minorBidi"/>
          <w:color w:val="000000" w:themeColor="text1"/>
          <w:sz w:val="20"/>
          <w:szCs w:val="20"/>
        </w:rPr>
        <w:t xml:space="preserve"> of the Executive Secretariat</w:t>
      </w:r>
      <w:r w:rsidR="00F549E2" w:rsidRPr="006D6F2E">
        <w:rPr>
          <w:rFonts w:eastAsia="MS Mincho" w:cstheme="minorBidi"/>
          <w:color w:val="000000" w:themeColor="text1"/>
          <w:sz w:val="20"/>
          <w:szCs w:val="20"/>
        </w:rPr>
        <w:t>, followed up on</w:t>
      </w:r>
      <w:r w:rsidR="0000589B" w:rsidRPr="006D6F2E">
        <w:rPr>
          <w:rFonts w:eastAsia="MS Mincho" w:cstheme="minorBidi"/>
          <w:color w:val="000000" w:themeColor="text1"/>
          <w:sz w:val="20"/>
          <w:szCs w:val="20"/>
        </w:rPr>
        <w:t xml:space="preserve"> the</w:t>
      </w:r>
      <w:r w:rsidR="00F549E2" w:rsidRPr="006D6F2E">
        <w:rPr>
          <w:rFonts w:eastAsia="MS Mincho" w:cstheme="minorBidi"/>
          <w:color w:val="000000" w:themeColor="text1"/>
          <w:sz w:val="20"/>
          <w:szCs w:val="20"/>
        </w:rPr>
        <w:t xml:space="preserve"> </w:t>
      </w:r>
      <w:r w:rsidR="006D6F2E">
        <w:rPr>
          <w:rFonts w:eastAsia="MS Mincho" w:cstheme="minorBidi"/>
          <w:color w:val="000000" w:themeColor="text1"/>
          <w:sz w:val="20"/>
          <w:szCs w:val="20"/>
        </w:rPr>
        <w:t xml:space="preserve">working route agreed between the parties for the </w:t>
      </w:r>
      <w:r w:rsidR="00F549E2" w:rsidRPr="006D6F2E">
        <w:rPr>
          <w:rFonts w:eastAsia="MS Mincho" w:cstheme="minorBidi"/>
          <w:color w:val="000000" w:themeColor="text1"/>
          <w:sz w:val="20"/>
          <w:szCs w:val="20"/>
        </w:rPr>
        <w:t>withdrawal</w:t>
      </w:r>
      <w:r w:rsidR="006D6F2E">
        <w:rPr>
          <w:rFonts w:eastAsia="MS Mincho" w:cstheme="minorBidi"/>
          <w:color w:val="000000" w:themeColor="text1"/>
          <w:sz w:val="20"/>
          <w:szCs w:val="20"/>
        </w:rPr>
        <w:t>, under the understanding that the agreement could not be homologated by the Commission</w:t>
      </w:r>
      <w:r w:rsidR="00F549E2" w:rsidRPr="006D6F2E">
        <w:rPr>
          <w:rFonts w:eastAsia="MS Mincho" w:cstheme="minorBidi"/>
          <w:color w:val="000000" w:themeColor="text1"/>
          <w:sz w:val="20"/>
          <w:szCs w:val="20"/>
        </w:rPr>
        <w:t xml:space="preserve">. </w:t>
      </w:r>
    </w:p>
    <w:p w14:paraId="3D857D94" w14:textId="77777777" w:rsidR="003C5660" w:rsidRPr="003C5660" w:rsidRDefault="003C5660" w:rsidP="5AF39A2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heme="minorBidi"/>
          <w:color w:val="000000" w:themeColor="text1"/>
          <w:sz w:val="20"/>
          <w:szCs w:val="20"/>
        </w:rPr>
      </w:pPr>
    </w:p>
    <w:p w14:paraId="4279442F" w14:textId="3220B64F" w:rsidR="00CF5423" w:rsidRPr="00F549E2" w:rsidRDefault="00F549E2" w:rsidP="00A7544A">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Bidi"/>
          <w:color w:val="000000" w:themeColor="text1"/>
          <w:sz w:val="20"/>
          <w:szCs w:val="20"/>
        </w:rPr>
      </w:pPr>
      <w:r w:rsidRPr="5AF39A28">
        <w:rPr>
          <w:rFonts w:eastAsia="MS Mincho" w:cstheme="minorBidi"/>
          <w:color w:val="000000" w:themeColor="text1"/>
          <w:sz w:val="20"/>
          <w:szCs w:val="20"/>
        </w:rPr>
        <w:t>On April 23 and 25, 2022, the petitioning party sent communications withdrawing its intention to continue with the processing of the matter and subsequently, on May 11, 2022, the parties submitted a joint report in which they expressed to the Commission their understanding that the friendly settlement agreement had been fully complied with, requesting the Commission to assess its total compliance and asked the Commission to take into account the withdrawal sent by the petitioning party.</w:t>
      </w:r>
    </w:p>
    <w:p w14:paraId="4ECF415C" w14:textId="77777777" w:rsidR="002A65AC" w:rsidRPr="00F549E2" w:rsidRDefault="002A65AC" w:rsidP="5AF39A2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Bidi"/>
          <w:b/>
          <w:bCs/>
          <w:color w:val="000000" w:themeColor="text1"/>
          <w:sz w:val="20"/>
          <w:szCs w:val="20"/>
          <w:lang w:eastAsia="es-ES"/>
        </w:rPr>
      </w:pPr>
    </w:p>
    <w:p w14:paraId="000B3B05" w14:textId="3A06B4A2" w:rsidR="00FA675D" w:rsidRDefault="001E59B9" w:rsidP="00A7544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Bidi"/>
          <w:b/>
          <w:bCs/>
          <w:color w:val="000000" w:themeColor="text1"/>
          <w:sz w:val="20"/>
          <w:szCs w:val="20"/>
        </w:rPr>
      </w:pPr>
      <w:r w:rsidRPr="5AF39A28">
        <w:rPr>
          <w:rFonts w:eastAsia="Times New Roman" w:cstheme="minorBidi"/>
          <w:b/>
          <w:bCs/>
          <w:color w:val="000000" w:themeColor="text1"/>
          <w:sz w:val="20"/>
          <w:szCs w:val="20"/>
        </w:rPr>
        <w:t>GROUNDS FOR THE DECISION TO ARCHIVE</w:t>
      </w:r>
    </w:p>
    <w:p w14:paraId="49E3E510" w14:textId="77777777" w:rsidR="00DA37B6" w:rsidRDefault="00DA37B6" w:rsidP="5AF39A2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Bidi"/>
          <w:b/>
          <w:bCs/>
          <w:color w:val="000000" w:themeColor="text1"/>
          <w:sz w:val="20"/>
          <w:szCs w:val="20"/>
        </w:rPr>
      </w:pPr>
    </w:p>
    <w:p w14:paraId="7143392D" w14:textId="3AF57619" w:rsidR="00867F15" w:rsidRDefault="005B4645" w:rsidP="00A7544A">
      <w:pPr>
        <w:pStyle w:val="ListParagraph"/>
        <w:numPr>
          <w:ilvl w:val="0"/>
          <w:numId w:val="58"/>
        </w:numPr>
        <w:ind w:left="0" w:firstLine="720"/>
        <w:jc w:val="both"/>
        <w:rPr>
          <w:rFonts w:eastAsia="MS Mincho" w:cstheme="minorBidi"/>
          <w:color w:val="000000" w:themeColor="text1"/>
          <w:sz w:val="20"/>
          <w:szCs w:val="20"/>
        </w:rPr>
      </w:pPr>
      <w:r w:rsidRPr="5AF39A28">
        <w:rPr>
          <w:rFonts w:eastAsia="MS Mincho" w:cstheme="minorBidi"/>
          <w:color w:val="000000" w:themeColor="text1"/>
          <w:sz w:val="20"/>
          <w:szCs w:val="20"/>
        </w:rPr>
        <w:t>A</w:t>
      </w:r>
      <w:r w:rsidR="00A752EC" w:rsidRPr="5AF39A28">
        <w:rPr>
          <w:rFonts w:eastAsia="MS Mincho" w:cstheme="minorBidi"/>
          <w:color w:val="000000" w:themeColor="text1"/>
          <w:sz w:val="20"/>
          <w:szCs w:val="20"/>
        </w:rPr>
        <w:t xml:space="preserve">rticle 41 of the Commission's Rules of Procedure provides that the petitioner may withdraw </w:t>
      </w:r>
      <w:r w:rsidR="006D6EFD" w:rsidRPr="5AF39A28">
        <w:rPr>
          <w:rFonts w:eastAsia="MS Mincho" w:cstheme="minorBidi"/>
          <w:color w:val="000000" w:themeColor="text1"/>
          <w:sz w:val="20"/>
          <w:szCs w:val="20"/>
        </w:rPr>
        <w:t>their</w:t>
      </w:r>
      <w:r w:rsidR="00A752EC" w:rsidRPr="5AF39A28">
        <w:rPr>
          <w:rFonts w:eastAsia="MS Mincho" w:cstheme="minorBidi"/>
          <w:color w:val="000000" w:themeColor="text1"/>
          <w:sz w:val="20"/>
          <w:szCs w:val="20"/>
        </w:rPr>
        <w:t xml:space="preserve"> petition or case at any time, to which effect he must notify the Commission in writing. The petitioner's statement shall be analyzed by the Commission, which may close the petition or case if it deems it appropriate, or it may continue the proceeding in the interest of protecting a specific right.</w:t>
      </w:r>
    </w:p>
    <w:p w14:paraId="75C07592" w14:textId="77777777" w:rsidR="00867F15" w:rsidRDefault="00867F15" w:rsidP="5AF39A28">
      <w:pPr>
        <w:pStyle w:val="ListParagraph"/>
        <w:jc w:val="both"/>
        <w:rPr>
          <w:rFonts w:eastAsia="MS Mincho" w:cstheme="minorBidi"/>
          <w:color w:val="000000" w:themeColor="text1"/>
          <w:sz w:val="20"/>
          <w:szCs w:val="20"/>
        </w:rPr>
      </w:pPr>
    </w:p>
    <w:p w14:paraId="19008D6D" w14:textId="20C4D681" w:rsidR="00867F15" w:rsidRPr="00867F15" w:rsidRDefault="00867F15" w:rsidP="00A7544A">
      <w:pPr>
        <w:pStyle w:val="ListParagraph"/>
        <w:numPr>
          <w:ilvl w:val="0"/>
          <w:numId w:val="58"/>
        </w:numPr>
        <w:ind w:left="0" w:firstLine="720"/>
        <w:jc w:val="both"/>
        <w:rPr>
          <w:rFonts w:eastAsia="MS Mincho" w:cstheme="minorBidi"/>
          <w:color w:val="000000" w:themeColor="text1"/>
          <w:sz w:val="20"/>
          <w:szCs w:val="20"/>
        </w:rPr>
      </w:pPr>
      <w:r w:rsidRPr="5AF39A28">
        <w:rPr>
          <w:rFonts w:eastAsia="MS Mincho" w:cstheme="minorBidi"/>
          <w:color w:val="000000" w:themeColor="text1"/>
          <w:sz w:val="20"/>
          <w:szCs w:val="20"/>
        </w:rPr>
        <w:t xml:space="preserve">In relation to what happened to Juan Carlos Bedregal, the Commission reiterates the conclusions of its merits report </w:t>
      </w:r>
      <w:r w:rsidRPr="006D6F2E">
        <w:rPr>
          <w:rFonts w:eastAsia="MS Mincho" w:cstheme="minorBidi"/>
          <w:sz w:val="20"/>
          <w:szCs w:val="20"/>
        </w:rPr>
        <w:t xml:space="preserve">No. </w:t>
      </w:r>
      <w:hyperlink r:id="rId18" w:history="1">
        <w:r w:rsidRPr="00B721CE">
          <w:rPr>
            <w:rStyle w:val="Hyperlink"/>
            <w:rFonts w:eastAsia="Times New Roman" w:cs="Times New Roman"/>
            <w:color w:val="0000FF"/>
            <w:sz w:val="20"/>
            <w:szCs w:val="20"/>
            <w:bdr w:val="none" w:sz="0" w:space="0" w:color="auto"/>
            <w:lang w:eastAsia="en-US"/>
          </w:rPr>
          <w:t>60/18</w:t>
        </w:r>
      </w:hyperlink>
      <w:r w:rsidRPr="5AF39A28">
        <w:rPr>
          <w:rFonts w:eastAsia="MS Mincho" w:cstheme="minorBidi"/>
          <w:color w:val="000000" w:themeColor="text1"/>
          <w:sz w:val="20"/>
          <w:szCs w:val="20"/>
        </w:rPr>
        <w:t>, in that he was the victim of a forced disappearance, and that “to date there has been no clarification”. The Commission has sent said case to the Inter-American Court which, to date, is awaiting a ruling. In processing this case, the Commission has asked the Court, among other aspects, at the time of ordering the pertinent reparations, to order the State to adopt measures that allow the public and Bolivian society to know the truth of what happened, and it is recognized that the victim suffered a forced disappearance with the effects that continue to the present.</w:t>
      </w:r>
    </w:p>
    <w:p w14:paraId="453E4692" w14:textId="77777777" w:rsidR="00867F15" w:rsidRPr="00867F15" w:rsidRDefault="00867F15" w:rsidP="5AF39A28">
      <w:pPr>
        <w:pStyle w:val="ListParagraph"/>
        <w:rPr>
          <w:rFonts w:eastAsia="MS Mincho" w:cstheme="minorBidi"/>
          <w:color w:val="000000" w:themeColor="text1"/>
          <w:sz w:val="20"/>
          <w:szCs w:val="20"/>
        </w:rPr>
      </w:pPr>
    </w:p>
    <w:p w14:paraId="6040F484" w14:textId="61AB7008" w:rsidR="00FA675D" w:rsidRDefault="00867F15" w:rsidP="00A7544A">
      <w:pPr>
        <w:pStyle w:val="ListParagraph"/>
        <w:numPr>
          <w:ilvl w:val="0"/>
          <w:numId w:val="58"/>
        </w:numPr>
        <w:ind w:left="0" w:firstLine="720"/>
        <w:jc w:val="both"/>
        <w:rPr>
          <w:rFonts w:eastAsia="MS Mincho" w:cstheme="minorBidi"/>
          <w:color w:val="000000" w:themeColor="text1"/>
          <w:sz w:val="20"/>
          <w:szCs w:val="20"/>
        </w:rPr>
      </w:pPr>
      <w:r w:rsidRPr="5AF39A28">
        <w:rPr>
          <w:rFonts w:eastAsia="MS Mincho" w:cstheme="minorBidi"/>
          <w:color w:val="000000" w:themeColor="text1"/>
          <w:sz w:val="20"/>
          <w:szCs w:val="20"/>
        </w:rPr>
        <w:t>Regarding the petition that is the subject of this matter, having verified the withdrawal of the petitioning party and the existence of a friendly settlement agreement that was not susceptible of homologation in accordance with the American Convention and the Rules of Procedure</w:t>
      </w:r>
      <w:r w:rsidRPr="5AF39A28">
        <w:rPr>
          <w:rStyle w:val="FootnoteReference"/>
          <w:rFonts w:eastAsia="MS Mincho"/>
          <w:color w:val="000000" w:themeColor="text1"/>
          <w:sz w:val="20"/>
          <w:szCs w:val="20"/>
        </w:rPr>
        <w:footnoteReference w:id="4"/>
      </w:r>
      <w:r w:rsidRPr="5AF39A28">
        <w:rPr>
          <w:rFonts w:eastAsia="MS Mincho" w:cstheme="minorBidi"/>
          <w:color w:val="000000" w:themeColor="text1"/>
          <w:sz w:val="20"/>
          <w:szCs w:val="20"/>
        </w:rPr>
        <w:t>, the Commission decide</w:t>
      </w:r>
      <w:r w:rsidR="00111BE0">
        <w:rPr>
          <w:rFonts w:eastAsia="MS Mincho" w:cstheme="minorBidi"/>
          <w:color w:val="000000" w:themeColor="text1"/>
          <w:sz w:val="20"/>
          <w:szCs w:val="20"/>
        </w:rPr>
        <w:t>s</w:t>
      </w:r>
      <w:r w:rsidR="00560BCE">
        <w:rPr>
          <w:rFonts w:eastAsia="MS Mincho" w:cstheme="minorBidi"/>
          <w:color w:val="000000" w:themeColor="text1"/>
          <w:sz w:val="20"/>
          <w:szCs w:val="20"/>
        </w:rPr>
        <w:t xml:space="preserve"> to</w:t>
      </w:r>
      <w:r w:rsidRPr="5AF39A28">
        <w:rPr>
          <w:rFonts w:eastAsia="MS Mincho" w:cstheme="minorBidi"/>
          <w:color w:val="000000" w:themeColor="text1"/>
          <w:sz w:val="20"/>
          <w:szCs w:val="20"/>
        </w:rPr>
        <w:t xml:space="preserve"> issue this report and file this petition.</w:t>
      </w:r>
    </w:p>
    <w:p w14:paraId="505D9BB4" w14:textId="77777777" w:rsidR="00111BE0" w:rsidRPr="00B721CE" w:rsidRDefault="00111BE0" w:rsidP="00B721CE">
      <w:pPr>
        <w:pStyle w:val="ListParagraph"/>
        <w:rPr>
          <w:rFonts w:asciiTheme="majorHAnsi" w:eastAsia="MS Mincho" w:hAnsiTheme="majorHAnsi" w:cstheme="minorBidi"/>
          <w:color w:val="000000" w:themeColor="text1"/>
          <w:sz w:val="20"/>
          <w:szCs w:val="20"/>
        </w:rPr>
      </w:pPr>
    </w:p>
    <w:p w14:paraId="68E8D26B" w14:textId="77777777" w:rsidR="00111BE0" w:rsidRPr="00B721CE" w:rsidRDefault="00111BE0" w:rsidP="00B721CE">
      <w:pPr>
        <w:pStyle w:val="ListParagraph"/>
        <w:ind w:left="0" w:firstLine="720"/>
        <w:jc w:val="both"/>
        <w:rPr>
          <w:rFonts w:asciiTheme="majorHAnsi" w:eastAsia="MS Mincho" w:hAnsiTheme="majorHAnsi" w:cstheme="minorBidi"/>
          <w:b/>
          <w:bCs/>
          <w:color w:val="000000" w:themeColor="text1"/>
          <w:sz w:val="20"/>
          <w:szCs w:val="20"/>
        </w:rPr>
      </w:pPr>
      <w:r w:rsidRPr="00B721CE">
        <w:rPr>
          <w:rFonts w:asciiTheme="majorHAnsi" w:eastAsia="MS Mincho" w:hAnsiTheme="majorHAnsi" w:cstheme="minorBidi"/>
          <w:b/>
          <w:bCs/>
          <w:color w:val="000000" w:themeColor="text1"/>
          <w:sz w:val="20"/>
          <w:szCs w:val="20"/>
        </w:rPr>
        <w:t>IV. CONCLUSIONS</w:t>
      </w:r>
    </w:p>
    <w:p w14:paraId="1535FF43" w14:textId="77777777" w:rsidR="00560BCE" w:rsidRPr="00560BCE" w:rsidRDefault="00560BCE" w:rsidP="00560BCE">
      <w:pPr>
        <w:jc w:val="both"/>
        <w:rPr>
          <w:rFonts w:asciiTheme="majorHAnsi" w:eastAsia="MS Mincho" w:hAnsiTheme="majorHAnsi" w:cstheme="minorBidi"/>
          <w:color w:val="000000" w:themeColor="text1"/>
          <w:sz w:val="20"/>
          <w:szCs w:val="20"/>
        </w:rPr>
      </w:pPr>
    </w:p>
    <w:p w14:paraId="3213E53C" w14:textId="7AEEC966" w:rsidR="00111BE0" w:rsidRPr="00560BCE" w:rsidRDefault="00111BE0" w:rsidP="008D0FBB">
      <w:pPr>
        <w:pStyle w:val="ListParagraph"/>
        <w:numPr>
          <w:ilvl w:val="0"/>
          <w:numId w:val="60"/>
        </w:numPr>
        <w:ind w:left="1440" w:hanging="720"/>
        <w:jc w:val="both"/>
        <w:rPr>
          <w:rFonts w:asciiTheme="majorHAnsi" w:eastAsia="MS Mincho" w:hAnsiTheme="majorHAnsi" w:cstheme="minorBidi"/>
          <w:color w:val="000000" w:themeColor="text1"/>
          <w:sz w:val="20"/>
          <w:szCs w:val="20"/>
        </w:rPr>
      </w:pPr>
      <w:r w:rsidRPr="00560BCE">
        <w:rPr>
          <w:rFonts w:asciiTheme="majorHAnsi" w:eastAsia="MS Mincho" w:hAnsiTheme="majorHAnsi" w:cstheme="minorBidi"/>
          <w:color w:val="000000" w:themeColor="text1"/>
          <w:sz w:val="20"/>
          <w:szCs w:val="20"/>
        </w:rPr>
        <w:t>In virtue of the considerations and conclusions set out in this report,</w:t>
      </w:r>
    </w:p>
    <w:p w14:paraId="404DEE69" w14:textId="77777777" w:rsidR="00111BE0" w:rsidRPr="00B721CE" w:rsidRDefault="00111BE0" w:rsidP="00B721CE">
      <w:pPr>
        <w:pStyle w:val="ListParagraph"/>
        <w:jc w:val="both"/>
        <w:rPr>
          <w:rFonts w:asciiTheme="majorHAnsi" w:eastAsia="MS Mincho" w:hAnsiTheme="majorHAnsi" w:cstheme="minorBidi"/>
          <w:color w:val="000000" w:themeColor="text1"/>
          <w:sz w:val="20"/>
          <w:szCs w:val="20"/>
        </w:rPr>
      </w:pPr>
    </w:p>
    <w:p w14:paraId="08C01428" w14:textId="77777777" w:rsidR="00111BE0" w:rsidRPr="00B721CE" w:rsidRDefault="00111BE0" w:rsidP="005B6079">
      <w:pPr>
        <w:pStyle w:val="ListParagraph"/>
        <w:jc w:val="center"/>
        <w:rPr>
          <w:rFonts w:asciiTheme="majorHAnsi" w:eastAsia="MS Mincho" w:hAnsiTheme="majorHAnsi" w:cstheme="minorBidi"/>
          <w:b/>
          <w:bCs/>
          <w:color w:val="000000" w:themeColor="text1"/>
          <w:sz w:val="20"/>
          <w:szCs w:val="20"/>
        </w:rPr>
      </w:pPr>
      <w:r w:rsidRPr="00B721CE">
        <w:rPr>
          <w:rFonts w:asciiTheme="majorHAnsi" w:eastAsia="MS Mincho" w:hAnsiTheme="majorHAnsi" w:cstheme="minorBidi"/>
          <w:b/>
          <w:bCs/>
          <w:color w:val="000000" w:themeColor="text1"/>
          <w:sz w:val="20"/>
          <w:szCs w:val="20"/>
        </w:rPr>
        <w:t>THE INTERAMERICAN COMMISSION OF HUMAN RIGHTS</w:t>
      </w:r>
    </w:p>
    <w:p w14:paraId="4BD1E61F" w14:textId="77777777" w:rsidR="00111BE0" w:rsidRPr="00B721CE" w:rsidRDefault="00111BE0" w:rsidP="00B721CE">
      <w:pPr>
        <w:pStyle w:val="ListParagraph"/>
        <w:jc w:val="both"/>
        <w:rPr>
          <w:rFonts w:asciiTheme="majorHAnsi" w:eastAsia="MS Mincho" w:hAnsiTheme="majorHAnsi" w:cstheme="minorBidi"/>
          <w:b/>
          <w:bCs/>
          <w:color w:val="000000" w:themeColor="text1"/>
          <w:sz w:val="20"/>
          <w:szCs w:val="20"/>
        </w:rPr>
      </w:pPr>
    </w:p>
    <w:p w14:paraId="4E7617D1" w14:textId="77777777" w:rsidR="00111BE0" w:rsidRPr="00B721CE" w:rsidRDefault="00111BE0" w:rsidP="00B721CE">
      <w:pPr>
        <w:pStyle w:val="ListParagraph"/>
        <w:ind w:left="0" w:firstLine="720"/>
        <w:jc w:val="both"/>
        <w:rPr>
          <w:rFonts w:asciiTheme="majorHAnsi" w:eastAsia="MS Mincho" w:hAnsiTheme="majorHAnsi" w:cstheme="minorBidi"/>
          <w:b/>
          <w:bCs/>
          <w:color w:val="000000" w:themeColor="text1"/>
          <w:sz w:val="20"/>
          <w:szCs w:val="20"/>
        </w:rPr>
      </w:pPr>
      <w:r w:rsidRPr="00B721CE">
        <w:rPr>
          <w:rFonts w:asciiTheme="majorHAnsi" w:eastAsia="MS Mincho" w:hAnsiTheme="majorHAnsi" w:cstheme="minorBidi"/>
          <w:b/>
          <w:bCs/>
          <w:color w:val="000000" w:themeColor="text1"/>
          <w:sz w:val="20"/>
          <w:szCs w:val="20"/>
        </w:rPr>
        <w:t>DECIDES:</w:t>
      </w:r>
    </w:p>
    <w:p w14:paraId="5887C3E3" w14:textId="77777777" w:rsidR="00B721CE" w:rsidRPr="00B721CE" w:rsidRDefault="00B721CE" w:rsidP="00B721CE">
      <w:pPr>
        <w:jc w:val="both"/>
        <w:rPr>
          <w:rFonts w:asciiTheme="majorHAnsi" w:eastAsia="MS Mincho" w:hAnsiTheme="majorHAnsi" w:cstheme="minorBidi"/>
          <w:color w:val="000000" w:themeColor="text1"/>
          <w:sz w:val="20"/>
          <w:szCs w:val="20"/>
        </w:rPr>
      </w:pPr>
    </w:p>
    <w:p w14:paraId="5A6F20A8" w14:textId="77777777" w:rsidR="00B721CE" w:rsidRDefault="00111BE0" w:rsidP="00A7544A">
      <w:pPr>
        <w:pStyle w:val="ListParagraph"/>
        <w:numPr>
          <w:ilvl w:val="0"/>
          <w:numId w:val="59"/>
        </w:numPr>
        <w:ind w:left="0" w:firstLine="720"/>
        <w:jc w:val="both"/>
        <w:rPr>
          <w:rFonts w:asciiTheme="majorHAnsi" w:eastAsia="MS Mincho" w:hAnsiTheme="majorHAnsi" w:cstheme="minorBidi"/>
          <w:color w:val="000000" w:themeColor="text1"/>
          <w:sz w:val="20"/>
          <w:szCs w:val="20"/>
        </w:rPr>
      </w:pPr>
      <w:r w:rsidRPr="00B721CE">
        <w:rPr>
          <w:rFonts w:asciiTheme="majorHAnsi" w:eastAsia="MS Mincho" w:hAnsiTheme="majorHAnsi" w:cstheme="minorBidi"/>
          <w:color w:val="000000" w:themeColor="text1"/>
          <w:sz w:val="20"/>
          <w:szCs w:val="20"/>
        </w:rPr>
        <w:t>To archive the petition No. 1186-09 and close the matter.</w:t>
      </w:r>
    </w:p>
    <w:p w14:paraId="415EA183" w14:textId="77777777" w:rsidR="00B721CE" w:rsidRDefault="00111BE0" w:rsidP="00A7544A">
      <w:pPr>
        <w:pStyle w:val="ListParagraph"/>
        <w:numPr>
          <w:ilvl w:val="0"/>
          <w:numId w:val="59"/>
        </w:numPr>
        <w:ind w:left="0" w:firstLine="720"/>
        <w:jc w:val="both"/>
        <w:rPr>
          <w:rFonts w:asciiTheme="majorHAnsi" w:eastAsia="MS Mincho" w:hAnsiTheme="majorHAnsi" w:cstheme="minorBidi"/>
          <w:color w:val="000000" w:themeColor="text1"/>
          <w:sz w:val="20"/>
          <w:szCs w:val="20"/>
        </w:rPr>
      </w:pPr>
      <w:r w:rsidRPr="00B721CE">
        <w:rPr>
          <w:rFonts w:asciiTheme="majorHAnsi" w:eastAsia="MS Mincho" w:hAnsiTheme="majorHAnsi" w:cstheme="minorBidi"/>
          <w:color w:val="000000" w:themeColor="text1"/>
          <w:sz w:val="20"/>
          <w:szCs w:val="20"/>
        </w:rPr>
        <w:t>To communicate the archive decision to the parties.</w:t>
      </w:r>
    </w:p>
    <w:p w14:paraId="21BC5034" w14:textId="2E5BE804" w:rsidR="00111BE0" w:rsidRDefault="00B721CE" w:rsidP="00A7544A">
      <w:pPr>
        <w:pStyle w:val="ListParagraph"/>
        <w:numPr>
          <w:ilvl w:val="0"/>
          <w:numId w:val="59"/>
        </w:numPr>
        <w:ind w:left="0" w:firstLine="720"/>
        <w:jc w:val="both"/>
        <w:rPr>
          <w:rFonts w:asciiTheme="majorHAnsi" w:eastAsia="MS Mincho" w:hAnsiTheme="majorHAnsi" w:cstheme="minorBidi"/>
          <w:color w:val="000000" w:themeColor="text1"/>
          <w:sz w:val="20"/>
          <w:szCs w:val="20"/>
        </w:rPr>
      </w:pPr>
      <w:r>
        <w:rPr>
          <w:rFonts w:asciiTheme="majorHAnsi" w:eastAsia="MS Mincho" w:hAnsiTheme="majorHAnsi" w:cstheme="minorBidi"/>
          <w:color w:val="000000" w:themeColor="text1"/>
          <w:sz w:val="20"/>
          <w:szCs w:val="20"/>
        </w:rPr>
        <w:t>To publish this report</w:t>
      </w:r>
      <w:r w:rsidR="00111BE0" w:rsidRPr="00B721CE">
        <w:rPr>
          <w:rFonts w:asciiTheme="majorHAnsi" w:eastAsia="MS Mincho" w:hAnsiTheme="majorHAnsi" w:cstheme="minorBidi"/>
          <w:color w:val="000000" w:themeColor="text1"/>
          <w:sz w:val="20"/>
          <w:szCs w:val="20"/>
        </w:rPr>
        <w:t xml:space="preserve"> and include it in its Annual Report to the General Assembly of the OAS.</w:t>
      </w:r>
    </w:p>
    <w:p w14:paraId="16E09D8C" w14:textId="177F462A" w:rsidR="000D0C73" w:rsidRDefault="000D0C73" w:rsidP="000D0C73">
      <w:pPr>
        <w:jc w:val="both"/>
        <w:rPr>
          <w:rFonts w:asciiTheme="majorHAnsi" w:eastAsia="MS Mincho" w:hAnsiTheme="majorHAnsi" w:cstheme="minorBidi"/>
          <w:color w:val="000000" w:themeColor="text1"/>
          <w:sz w:val="20"/>
          <w:szCs w:val="20"/>
        </w:rPr>
      </w:pPr>
    </w:p>
    <w:p w14:paraId="08B44ABE" w14:textId="77777777" w:rsidR="000D0C73" w:rsidRDefault="000D0C73" w:rsidP="000D0C73">
      <w:pPr>
        <w:ind w:firstLine="720"/>
        <w:jc w:val="both"/>
        <w:rPr>
          <w:rFonts w:ascii="Cambria" w:hAnsi="Cambria"/>
          <w:sz w:val="20"/>
          <w:szCs w:val="20"/>
        </w:rPr>
      </w:pPr>
    </w:p>
    <w:p w14:paraId="665A4C43" w14:textId="77777777" w:rsidR="008A2B92" w:rsidRPr="005B5B5F" w:rsidRDefault="008A2B92" w:rsidP="008A2B92">
      <w:pPr>
        <w:ind w:firstLine="720"/>
        <w:jc w:val="both"/>
        <w:rPr>
          <w:rFonts w:ascii="Cambria" w:eastAsia="Times New Roman" w:hAnsi="Cambria" w:cstheme="minorHAnsi"/>
          <w:color w:val="000000" w:themeColor="text1"/>
          <w:sz w:val="20"/>
          <w:szCs w:val="20"/>
          <w:bdr w:val="none" w:sz="0" w:space="0" w:color="auto" w:frame="1"/>
          <w:lang w:eastAsia="es-ES_tradnl"/>
        </w:rPr>
      </w:pPr>
      <w:r w:rsidRPr="005B5B5F">
        <w:rPr>
          <w:rFonts w:ascii="Cambria" w:hAnsi="Cambria"/>
          <w:sz w:val="20"/>
          <w:szCs w:val="20"/>
        </w:rPr>
        <w:t xml:space="preserve">Approved by the Inter-American Commission on Human Rights on </w:t>
      </w:r>
      <w:r>
        <w:rPr>
          <w:rFonts w:ascii="Cambria" w:hAnsi="Cambria"/>
          <w:sz w:val="20"/>
          <w:szCs w:val="20"/>
        </w:rPr>
        <w:t>July</w:t>
      </w:r>
      <w:r w:rsidRPr="005B5B5F">
        <w:rPr>
          <w:rFonts w:ascii="Cambria" w:hAnsi="Cambria"/>
          <w:sz w:val="20"/>
          <w:szCs w:val="20"/>
        </w:rPr>
        <w:t xml:space="preserve"> </w:t>
      </w:r>
      <w:r>
        <w:rPr>
          <w:rFonts w:ascii="Cambria" w:hAnsi="Cambria"/>
          <w:sz w:val="20"/>
          <w:szCs w:val="20"/>
        </w:rPr>
        <w:t>25</w:t>
      </w:r>
      <w:r w:rsidRPr="005B5B5F">
        <w:rPr>
          <w:rFonts w:ascii="Cambria" w:hAnsi="Cambria"/>
          <w:sz w:val="20"/>
          <w:szCs w:val="20"/>
        </w:rPr>
        <w:t>, 2022. (Signed): Julissa Mantilla Falcón, President; Edgar Stuardo Ralón Orellana, First Vice President; Margarette May Macaulay, Second Vice President; Esmeralda E. Arosemena de Troitiño; Joel Hernández Garcia</w:t>
      </w:r>
      <w:r>
        <w:rPr>
          <w:rFonts w:ascii="Cambria" w:hAnsi="Cambria"/>
          <w:sz w:val="20"/>
          <w:szCs w:val="20"/>
        </w:rPr>
        <w:t>; Carlos Bernal Pulido</w:t>
      </w:r>
      <w:r w:rsidRPr="005B5B5F">
        <w:rPr>
          <w:rFonts w:ascii="Cambria" w:hAnsi="Cambria"/>
          <w:sz w:val="20"/>
          <w:szCs w:val="20"/>
        </w:rPr>
        <w:t xml:space="preserve"> and Roberta Clarke Members of the Commission.</w:t>
      </w:r>
    </w:p>
    <w:p w14:paraId="7C7EE4CD" w14:textId="77777777" w:rsidR="000D0C73" w:rsidRPr="005B5B5F" w:rsidRDefault="000D0C73" w:rsidP="000D0C7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eastAsia="es-ES_tradnl"/>
        </w:rPr>
      </w:pPr>
    </w:p>
    <w:p w14:paraId="2B1C74ED" w14:textId="77777777" w:rsidR="000D0C73" w:rsidRPr="005B5B5F" w:rsidRDefault="000D0C73" w:rsidP="000D0C7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eastAsia="es-ES_tradnl"/>
        </w:rPr>
      </w:pPr>
    </w:p>
    <w:sectPr w:rsidR="000D0C73" w:rsidRPr="005B5B5F"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F783" w14:textId="77777777" w:rsidR="00F70E5C" w:rsidRDefault="00F70E5C" w:rsidP="00036A8A">
      <w:r>
        <w:separator/>
      </w:r>
    </w:p>
  </w:endnote>
  <w:endnote w:type="continuationSeparator" w:id="0">
    <w:p w14:paraId="01990486" w14:textId="77777777" w:rsidR="00F70E5C" w:rsidRDefault="00F70E5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94216C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0771320E"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913B" w14:textId="77777777" w:rsidR="007607C4" w:rsidRDefault="007607C4">
    <w:pPr>
      <w:pStyle w:val="Footer"/>
      <w:jc w:val="center"/>
    </w:pPr>
  </w:p>
  <w:p w14:paraId="31116E15"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86C4"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p w14:paraId="10C2DD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2C6D" w14:textId="77777777" w:rsidR="00F70E5C" w:rsidRPr="00036A8A" w:rsidRDefault="00F70E5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7C6014A" w14:textId="77777777" w:rsidR="00F70E5C" w:rsidRPr="00036A8A" w:rsidRDefault="00F70E5C" w:rsidP="00036A8A">
      <w:pPr>
        <w:rPr>
          <w:rFonts w:asciiTheme="majorHAnsi" w:hAnsiTheme="majorHAnsi"/>
          <w:sz w:val="16"/>
          <w:szCs w:val="16"/>
        </w:rPr>
      </w:pPr>
      <w:r w:rsidRPr="00036A8A">
        <w:rPr>
          <w:rFonts w:asciiTheme="majorHAnsi" w:hAnsiTheme="majorHAnsi"/>
          <w:sz w:val="16"/>
          <w:szCs w:val="16"/>
        </w:rPr>
        <w:separator/>
      </w:r>
    </w:p>
    <w:p w14:paraId="322C7210" w14:textId="77777777" w:rsidR="00F70E5C" w:rsidRPr="00036A8A" w:rsidRDefault="00F70E5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56CC519" w14:textId="77777777" w:rsidR="00F70E5C" w:rsidRPr="0093441A" w:rsidRDefault="00F70E5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1881EDB" w14:textId="2AF2D0D2" w:rsidR="006541BB" w:rsidRPr="00867F15" w:rsidRDefault="006541BB" w:rsidP="00867F15">
      <w:pPr>
        <w:pStyle w:val="FootnoteText"/>
        <w:ind w:firstLine="720"/>
        <w:jc w:val="both"/>
        <w:rPr>
          <w:rFonts w:asciiTheme="majorHAnsi" w:hAnsiTheme="majorHAnsi"/>
          <w:sz w:val="16"/>
          <w:szCs w:val="16"/>
        </w:rPr>
      </w:pPr>
      <w:r w:rsidRPr="00867F15">
        <w:rPr>
          <w:rStyle w:val="FootnoteReference"/>
          <w:rFonts w:asciiTheme="majorHAnsi" w:hAnsiTheme="majorHAnsi"/>
          <w:sz w:val="16"/>
          <w:szCs w:val="16"/>
        </w:rPr>
        <w:footnoteRef/>
      </w:r>
      <w:r w:rsidRPr="00867F15">
        <w:rPr>
          <w:rFonts w:asciiTheme="majorHAnsi" w:hAnsiTheme="majorHAnsi"/>
          <w:sz w:val="16"/>
          <w:szCs w:val="16"/>
        </w:rPr>
        <w:t xml:space="preserve"> </w:t>
      </w:r>
      <w:r w:rsidR="00743A78" w:rsidRPr="00867F15">
        <w:rPr>
          <w:rFonts w:asciiTheme="majorHAnsi" w:hAnsiTheme="majorHAnsi"/>
          <w:sz w:val="16"/>
          <w:szCs w:val="16"/>
        </w:rPr>
        <w:t>In the original petition the petitioner did not specify the articles of the alleged violations, however, the facts described in the original petition could characterize a violation of Article 24 (equality before the law) of the American Convention on Human Rights.</w:t>
      </w:r>
    </w:p>
  </w:footnote>
  <w:footnote w:id="3">
    <w:p w14:paraId="3099A660" w14:textId="542D964A" w:rsidR="007E29ED" w:rsidRPr="00867F15" w:rsidRDefault="007E29ED" w:rsidP="00867F15">
      <w:pPr>
        <w:pStyle w:val="FootnoteText"/>
        <w:ind w:firstLine="720"/>
        <w:jc w:val="both"/>
        <w:rPr>
          <w:rFonts w:asciiTheme="majorHAnsi" w:hAnsiTheme="majorHAnsi"/>
          <w:sz w:val="16"/>
          <w:szCs w:val="16"/>
        </w:rPr>
      </w:pPr>
      <w:r w:rsidRPr="00867F15">
        <w:rPr>
          <w:rStyle w:val="FootnoteReference"/>
          <w:rFonts w:asciiTheme="majorHAnsi" w:hAnsiTheme="majorHAnsi"/>
          <w:sz w:val="16"/>
          <w:szCs w:val="16"/>
        </w:rPr>
        <w:footnoteRef/>
      </w:r>
      <w:r w:rsidRPr="00867F15">
        <w:rPr>
          <w:rFonts w:asciiTheme="majorHAnsi" w:hAnsiTheme="majorHAnsi"/>
          <w:sz w:val="16"/>
          <w:szCs w:val="16"/>
        </w:rPr>
        <w:t xml:space="preserve"> </w:t>
      </w:r>
      <w:r w:rsidRPr="00867F15">
        <w:rPr>
          <w:rFonts w:asciiTheme="majorHAnsi" w:eastAsia="MS Mincho" w:hAnsiTheme="majorHAnsi" w:cstheme="minorHAnsi"/>
          <w:color w:val="000000" w:themeColor="text1"/>
          <w:sz w:val="16"/>
          <w:szCs w:val="16"/>
        </w:rPr>
        <w:t>This agreement included the following measures of reparation: a) an act honoring Juan Carlos Flores Bedregal’s death at the highest level, consisting of an official declaration as a martyr of democracy, the creation of a "Democracy Award" bearing his name, and a public act of apology and a commitment to continue the search for his remains; b) the payment of pecuniary reparation; and c) the granting of a life pension in favor of Mrs. Adela Villamil.</w:t>
      </w:r>
    </w:p>
  </w:footnote>
  <w:footnote w:id="4">
    <w:p w14:paraId="3C36DC2A" w14:textId="66C36048" w:rsidR="00867F15" w:rsidRPr="00867F15" w:rsidRDefault="00867F15" w:rsidP="00867F15">
      <w:pPr>
        <w:ind w:firstLine="720"/>
        <w:jc w:val="both"/>
        <w:rPr>
          <w:rFonts w:asciiTheme="majorHAnsi" w:eastAsia="MS Mincho" w:hAnsiTheme="majorHAnsi" w:cstheme="minorHAnsi"/>
          <w:color w:val="000000" w:themeColor="text1"/>
          <w:sz w:val="16"/>
          <w:szCs w:val="16"/>
        </w:rPr>
      </w:pPr>
      <w:r w:rsidRPr="00867F15">
        <w:rPr>
          <w:rStyle w:val="FootnoteReference"/>
          <w:rFonts w:asciiTheme="majorHAnsi" w:hAnsiTheme="majorHAnsi"/>
          <w:sz w:val="16"/>
          <w:szCs w:val="16"/>
        </w:rPr>
        <w:footnoteRef/>
      </w:r>
      <w:r w:rsidRPr="00867F15">
        <w:rPr>
          <w:rFonts w:asciiTheme="majorHAnsi" w:hAnsiTheme="majorHAnsi"/>
          <w:sz w:val="16"/>
          <w:szCs w:val="16"/>
        </w:rPr>
        <w:t xml:space="preserve"> </w:t>
      </w:r>
      <w:r w:rsidRPr="00867F15">
        <w:rPr>
          <w:rFonts w:asciiTheme="majorHAnsi" w:eastAsia="MS Mincho" w:hAnsiTheme="majorHAnsi" w:cstheme="minorHAnsi"/>
          <w:color w:val="000000" w:themeColor="text1"/>
          <w:sz w:val="16"/>
          <w:szCs w:val="16"/>
        </w:rPr>
        <w:t xml:space="preserve">According to Articles 48. F and 49 of the American Convention on Human Rights and Article 40 of the Commission's Rules of Procedure, "if a friendly settlement has been reached in accordance with the provisions of Article 48(1)(f), the Commission shall draw up a report which shall be transmitted to the petitioner and to the States Parties to this Convention and thereafter communicated, for publication, to the Secretary General of the Organization of American States. This report shall contain a brief statement of the facts and of the solution reached" and </w:t>
      </w:r>
      <w:r w:rsidRPr="00867F15">
        <w:rPr>
          <w:rFonts w:asciiTheme="majorHAnsi" w:eastAsia="MS Mincho" w:hAnsiTheme="majorHAnsi" w:cstheme="minorHAnsi"/>
          <w:color w:val="000000" w:themeColor="text1"/>
          <w:sz w:val="16"/>
          <w:szCs w:val="16"/>
          <w:u w:val="single"/>
        </w:rPr>
        <w:t>"[i]n all cases, the friendly settlement shall be based on respect for the human rights recognized in the American Convention on Human Rights, the American Declaration and other applicable instruments</w:t>
      </w:r>
      <w:r w:rsidRPr="00867F15">
        <w:rPr>
          <w:rFonts w:asciiTheme="majorHAnsi" w:eastAsia="MS Mincho" w:hAnsiTheme="majorHAnsi" w:cstheme="minorHAnsi"/>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367"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0BDD42F"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218E"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7967DAC" wp14:editId="736009E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2102C96" w14:textId="77777777" w:rsidR="00040C3A" w:rsidRPr="00EC7D62" w:rsidRDefault="00453B6B" w:rsidP="002C1641">
    <w:pPr>
      <w:pStyle w:val="Header"/>
      <w:tabs>
        <w:tab w:val="clear" w:pos="4320"/>
        <w:tab w:val="clear" w:pos="8640"/>
      </w:tabs>
      <w:jc w:val="center"/>
      <w:rPr>
        <w:sz w:val="22"/>
        <w:szCs w:val="22"/>
      </w:rPr>
    </w:pPr>
    <w:r>
      <w:rPr>
        <w:sz w:val="22"/>
        <w:szCs w:val="22"/>
      </w:rPr>
      <w:pict w14:anchorId="466985C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352C84"/>
    <w:multiLevelType w:val="hybridMultilevel"/>
    <w:tmpl w:val="8A16DB54"/>
    <w:lvl w:ilvl="0" w:tplc="36C22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0D17E3"/>
    <w:multiLevelType w:val="hybridMultilevel"/>
    <w:tmpl w:val="8B06DBE0"/>
    <w:lvl w:ilvl="0" w:tplc="EA9A92C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0BD2D1B"/>
    <w:multiLevelType w:val="hybridMultilevel"/>
    <w:tmpl w:val="3D8A623A"/>
    <w:lvl w:ilvl="0" w:tplc="FE82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A3D6BC4"/>
    <w:multiLevelType w:val="hybridMultilevel"/>
    <w:tmpl w:val="2C5ADF58"/>
    <w:lvl w:ilvl="0" w:tplc="03A40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3B11EF"/>
    <w:multiLevelType w:val="hybridMultilevel"/>
    <w:tmpl w:val="E362B19E"/>
    <w:lvl w:ilvl="0" w:tplc="8340BB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41277874">
    <w:abstractNumId w:val="3"/>
  </w:num>
  <w:num w:numId="2" w16cid:durableId="1229606296">
    <w:abstractNumId w:val="5"/>
  </w:num>
  <w:num w:numId="3" w16cid:durableId="1578326735">
    <w:abstractNumId w:val="54"/>
  </w:num>
  <w:num w:numId="4" w16cid:durableId="1438865322">
    <w:abstractNumId w:val="20"/>
  </w:num>
  <w:num w:numId="5" w16cid:durableId="1459881845">
    <w:abstractNumId w:val="46"/>
  </w:num>
  <w:num w:numId="6" w16cid:durableId="1617785858">
    <w:abstractNumId w:val="25"/>
  </w:num>
  <w:num w:numId="7" w16cid:durableId="726880487">
    <w:abstractNumId w:val="6"/>
  </w:num>
  <w:num w:numId="8" w16cid:durableId="132867079">
    <w:abstractNumId w:val="16"/>
  </w:num>
  <w:num w:numId="9" w16cid:durableId="1740667113">
    <w:abstractNumId w:val="36"/>
  </w:num>
  <w:num w:numId="10" w16cid:durableId="2072732210">
    <w:abstractNumId w:val="41"/>
  </w:num>
  <w:num w:numId="11" w16cid:durableId="85157283">
    <w:abstractNumId w:val="0"/>
  </w:num>
  <w:num w:numId="12" w16cid:durableId="1949506514">
    <w:abstractNumId w:val="35"/>
  </w:num>
  <w:num w:numId="13" w16cid:durableId="151533140">
    <w:abstractNumId w:val="42"/>
  </w:num>
  <w:num w:numId="14" w16cid:durableId="116066191">
    <w:abstractNumId w:val="1"/>
  </w:num>
  <w:num w:numId="15" w16cid:durableId="598609279">
    <w:abstractNumId w:val="2"/>
  </w:num>
  <w:num w:numId="16" w16cid:durableId="1768647817">
    <w:abstractNumId w:val="7"/>
  </w:num>
  <w:num w:numId="17" w16cid:durableId="225456728">
    <w:abstractNumId w:val="8"/>
  </w:num>
  <w:num w:numId="18" w16cid:durableId="920600055">
    <w:abstractNumId w:val="9"/>
  </w:num>
  <w:num w:numId="19" w16cid:durableId="379062377">
    <w:abstractNumId w:val="10"/>
  </w:num>
  <w:num w:numId="20" w16cid:durableId="82185926">
    <w:abstractNumId w:val="11"/>
  </w:num>
  <w:num w:numId="21" w16cid:durableId="793720250">
    <w:abstractNumId w:val="12"/>
  </w:num>
  <w:num w:numId="22" w16cid:durableId="1511338265">
    <w:abstractNumId w:val="13"/>
  </w:num>
  <w:num w:numId="23" w16cid:durableId="770859988">
    <w:abstractNumId w:val="14"/>
  </w:num>
  <w:num w:numId="24" w16cid:durableId="701787939">
    <w:abstractNumId w:val="15"/>
  </w:num>
  <w:num w:numId="25" w16cid:durableId="2139492676">
    <w:abstractNumId w:val="17"/>
  </w:num>
  <w:num w:numId="26" w16cid:durableId="398747230">
    <w:abstractNumId w:val="18"/>
  </w:num>
  <w:num w:numId="27" w16cid:durableId="232014667">
    <w:abstractNumId w:val="21"/>
  </w:num>
  <w:num w:numId="28" w16cid:durableId="505094760">
    <w:abstractNumId w:val="22"/>
  </w:num>
  <w:num w:numId="29" w16cid:durableId="407922907">
    <w:abstractNumId w:val="23"/>
  </w:num>
  <w:num w:numId="30" w16cid:durableId="1889797943">
    <w:abstractNumId w:val="24"/>
  </w:num>
  <w:num w:numId="31" w16cid:durableId="243298537">
    <w:abstractNumId w:val="26"/>
  </w:num>
  <w:num w:numId="32" w16cid:durableId="608437959">
    <w:abstractNumId w:val="27"/>
  </w:num>
  <w:num w:numId="33" w16cid:durableId="2011517724">
    <w:abstractNumId w:val="28"/>
  </w:num>
  <w:num w:numId="34" w16cid:durableId="520705241">
    <w:abstractNumId w:val="30"/>
  </w:num>
  <w:num w:numId="35" w16cid:durableId="1384712848">
    <w:abstractNumId w:val="31"/>
  </w:num>
  <w:num w:numId="36" w16cid:durableId="800415753">
    <w:abstractNumId w:val="32"/>
  </w:num>
  <w:num w:numId="37" w16cid:durableId="464204706">
    <w:abstractNumId w:val="33"/>
  </w:num>
  <w:num w:numId="38" w16cid:durableId="1608464589">
    <w:abstractNumId w:val="34"/>
  </w:num>
  <w:num w:numId="39" w16cid:durableId="2008241587">
    <w:abstractNumId w:val="37"/>
  </w:num>
  <w:num w:numId="40" w16cid:durableId="1052462573">
    <w:abstractNumId w:val="38"/>
  </w:num>
  <w:num w:numId="41" w16cid:durableId="328875137">
    <w:abstractNumId w:val="45"/>
  </w:num>
  <w:num w:numId="42" w16cid:durableId="1485976577">
    <w:abstractNumId w:val="47"/>
  </w:num>
  <w:num w:numId="43" w16cid:durableId="1067805862">
    <w:abstractNumId w:val="49"/>
  </w:num>
  <w:num w:numId="44" w16cid:durableId="925458554">
    <w:abstractNumId w:val="52"/>
  </w:num>
  <w:num w:numId="45" w16cid:durableId="1344474185">
    <w:abstractNumId w:val="53"/>
  </w:num>
  <w:num w:numId="46" w16cid:durableId="1816215296">
    <w:abstractNumId w:val="55"/>
  </w:num>
  <w:num w:numId="47" w16cid:durableId="1245457906">
    <w:abstractNumId w:val="56"/>
  </w:num>
  <w:num w:numId="48" w16cid:durableId="214391557">
    <w:abstractNumId w:val="57"/>
  </w:num>
  <w:num w:numId="49" w16cid:durableId="559824523">
    <w:abstractNumId w:val="58"/>
  </w:num>
  <w:num w:numId="50" w16cid:durableId="474683608">
    <w:abstractNumId w:val="59"/>
  </w:num>
  <w:num w:numId="51" w16cid:durableId="979001073">
    <w:abstractNumId w:val="19"/>
  </w:num>
  <w:num w:numId="52" w16cid:durableId="1918661528">
    <w:abstractNumId w:val="39"/>
  </w:num>
  <w:num w:numId="53" w16cid:durableId="2112508396">
    <w:abstractNumId w:val="50"/>
  </w:num>
  <w:num w:numId="54" w16cid:durableId="1327174470">
    <w:abstractNumId w:val="43"/>
  </w:num>
  <w:num w:numId="55" w16cid:durableId="1734159511">
    <w:abstractNumId w:val="44"/>
  </w:num>
  <w:num w:numId="56" w16cid:durableId="1421371536">
    <w:abstractNumId w:val="4"/>
  </w:num>
  <w:num w:numId="57" w16cid:durableId="1754275613">
    <w:abstractNumId w:val="51"/>
  </w:num>
  <w:num w:numId="58" w16cid:durableId="440955597">
    <w:abstractNumId w:val="29"/>
  </w:num>
  <w:num w:numId="59" w16cid:durableId="427694851">
    <w:abstractNumId w:val="40"/>
  </w:num>
  <w:num w:numId="60" w16cid:durableId="1930432465">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B3"/>
    <w:rsid w:val="0000589B"/>
    <w:rsid w:val="000070D7"/>
    <w:rsid w:val="000111A8"/>
    <w:rsid w:val="0001788C"/>
    <w:rsid w:val="00036A8A"/>
    <w:rsid w:val="00040C3A"/>
    <w:rsid w:val="000639C0"/>
    <w:rsid w:val="00070F3A"/>
    <w:rsid w:val="000716C5"/>
    <w:rsid w:val="00075E23"/>
    <w:rsid w:val="00092F32"/>
    <w:rsid w:val="0009344A"/>
    <w:rsid w:val="000A575F"/>
    <w:rsid w:val="000D0C73"/>
    <w:rsid w:val="000D10DB"/>
    <w:rsid w:val="00111BE0"/>
    <w:rsid w:val="00114688"/>
    <w:rsid w:val="0013104F"/>
    <w:rsid w:val="00137EBA"/>
    <w:rsid w:val="00145EDC"/>
    <w:rsid w:val="00167A34"/>
    <w:rsid w:val="0018037F"/>
    <w:rsid w:val="001A5F27"/>
    <w:rsid w:val="001A7870"/>
    <w:rsid w:val="001B3B3D"/>
    <w:rsid w:val="001C1B41"/>
    <w:rsid w:val="001E59B9"/>
    <w:rsid w:val="002050D7"/>
    <w:rsid w:val="00210E0E"/>
    <w:rsid w:val="00247403"/>
    <w:rsid w:val="00247542"/>
    <w:rsid w:val="00257893"/>
    <w:rsid w:val="00266092"/>
    <w:rsid w:val="00266B61"/>
    <w:rsid w:val="0026712A"/>
    <w:rsid w:val="002704DB"/>
    <w:rsid w:val="002A65AC"/>
    <w:rsid w:val="002C1641"/>
    <w:rsid w:val="002D7EA2"/>
    <w:rsid w:val="002E15DF"/>
    <w:rsid w:val="002E187C"/>
    <w:rsid w:val="002E6E57"/>
    <w:rsid w:val="00301075"/>
    <w:rsid w:val="00302733"/>
    <w:rsid w:val="00311A4F"/>
    <w:rsid w:val="00314078"/>
    <w:rsid w:val="00317C64"/>
    <w:rsid w:val="00322450"/>
    <w:rsid w:val="003246B5"/>
    <w:rsid w:val="0033169F"/>
    <w:rsid w:val="003414AC"/>
    <w:rsid w:val="00356185"/>
    <w:rsid w:val="00360380"/>
    <w:rsid w:val="003815A8"/>
    <w:rsid w:val="00386CF0"/>
    <w:rsid w:val="003A67E6"/>
    <w:rsid w:val="003C32BC"/>
    <w:rsid w:val="003C5660"/>
    <w:rsid w:val="003F1BBF"/>
    <w:rsid w:val="004013CF"/>
    <w:rsid w:val="004112C0"/>
    <w:rsid w:val="004165C2"/>
    <w:rsid w:val="00450A4A"/>
    <w:rsid w:val="00453B6B"/>
    <w:rsid w:val="004666FB"/>
    <w:rsid w:val="00467B7E"/>
    <w:rsid w:val="0049419D"/>
    <w:rsid w:val="004B2762"/>
    <w:rsid w:val="004B7EB6"/>
    <w:rsid w:val="004C4B62"/>
    <w:rsid w:val="004D6025"/>
    <w:rsid w:val="004D72BC"/>
    <w:rsid w:val="00501399"/>
    <w:rsid w:val="00507BC4"/>
    <w:rsid w:val="005128E4"/>
    <w:rsid w:val="00524DFE"/>
    <w:rsid w:val="00525560"/>
    <w:rsid w:val="005357A6"/>
    <w:rsid w:val="00544C49"/>
    <w:rsid w:val="00560BCE"/>
    <w:rsid w:val="0057402A"/>
    <w:rsid w:val="005771D0"/>
    <w:rsid w:val="0059191A"/>
    <w:rsid w:val="005921FF"/>
    <w:rsid w:val="005A6D0E"/>
    <w:rsid w:val="005B222D"/>
    <w:rsid w:val="005B4645"/>
    <w:rsid w:val="005B52B0"/>
    <w:rsid w:val="005B6079"/>
    <w:rsid w:val="005B6806"/>
    <w:rsid w:val="005C00F9"/>
    <w:rsid w:val="005C4225"/>
    <w:rsid w:val="005F0F33"/>
    <w:rsid w:val="00600DEB"/>
    <w:rsid w:val="00613027"/>
    <w:rsid w:val="00627C9F"/>
    <w:rsid w:val="006311DA"/>
    <w:rsid w:val="006311E9"/>
    <w:rsid w:val="00632354"/>
    <w:rsid w:val="00642810"/>
    <w:rsid w:val="00652333"/>
    <w:rsid w:val="006541BB"/>
    <w:rsid w:val="0068009E"/>
    <w:rsid w:val="006A17D2"/>
    <w:rsid w:val="006A73E6"/>
    <w:rsid w:val="006B2D5C"/>
    <w:rsid w:val="006C4EB1"/>
    <w:rsid w:val="006D6EFD"/>
    <w:rsid w:val="006D6F2E"/>
    <w:rsid w:val="006E0166"/>
    <w:rsid w:val="006E7B34"/>
    <w:rsid w:val="00701B24"/>
    <w:rsid w:val="00743A78"/>
    <w:rsid w:val="00745899"/>
    <w:rsid w:val="007607C4"/>
    <w:rsid w:val="0076643F"/>
    <w:rsid w:val="00792EE0"/>
    <w:rsid w:val="007A2F70"/>
    <w:rsid w:val="007C3334"/>
    <w:rsid w:val="007C52BB"/>
    <w:rsid w:val="007D2B98"/>
    <w:rsid w:val="007E29ED"/>
    <w:rsid w:val="00803F1C"/>
    <w:rsid w:val="0080600E"/>
    <w:rsid w:val="00817612"/>
    <w:rsid w:val="00837C45"/>
    <w:rsid w:val="00853419"/>
    <w:rsid w:val="00867F15"/>
    <w:rsid w:val="0088708E"/>
    <w:rsid w:val="00897E12"/>
    <w:rsid w:val="008A1DF1"/>
    <w:rsid w:val="008A271D"/>
    <w:rsid w:val="008A2B92"/>
    <w:rsid w:val="008D0FBB"/>
    <w:rsid w:val="008D43BA"/>
    <w:rsid w:val="008E3759"/>
    <w:rsid w:val="009041DC"/>
    <w:rsid w:val="009104B4"/>
    <w:rsid w:val="00925FCD"/>
    <w:rsid w:val="0093441A"/>
    <w:rsid w:val="00954BF7"/>
    <w:rsid w:val="0096706E"/>
    <w:rsid w:val="00981FBA"/>
    <w:rsid w:val="009B381B"/>
    <w:rsid w:val="009D7611"/>
    <w:rsid w:val="009D770B"/>
    <w:rsid w:val="009E53DE"/>
    <w:rsid w:val="00A43458"/>
    <w:rsid w:val="00A528D1"/>
    <w:rsid w:val="00A66BE5"/>
    <w:rsid w:val="00A752EC"/>
    <w:rsid w:val="00A7544A"/>
    <w:rsid w:val="00AD37C1"/>
    <w:rsid w:val="00AE66EC"/>
    <w:rsid w:val="00AE6F91"/>
    <w:rsid w:val="00AF5571"/>
    <w:rsid w:val="00B167E9"/>
    <w:rsid w:val="00B204B0"/>
    <w:rsid w:val="00B314DB"/>
    <w:rsid w:val="00B31EBE"/>
    <w:rsid w:val="00B3718B"/>
    <w:rsid w:val="00B4632A"/>
    <w:rsid w:val="00B627B4"/>
    <w:rsid w:val="00B721CE"/>
    <w:rsid w:val="00BA276C"/>
    <w:rsid w:val="00BB306F"/>
    <w:rsid w:val="00BB4A6E"/>
    <w:rsid w:val="00BD232B"/>
    <w:rsid w:val="00BD4B89"/>
    <w:rsid w:val="00C21762"/>
    <w:rsid w:val="00C24543"/>
    <w:rsid w:val="00C256A2"/>
    <w:rsid w:val="00C3492D"/>
    <w:rsid w:val="00C516B3"/>
    <w:rsid w:val="00C55560"/>
    <w:rsid w:val="00C66B72"/>
    <w:rsid w:val="00C9567A"/>
    <w:rsid w:val="00CB2660"/>
    <w:rsid w:val="00CC5E90"/>
    <w:rsid w:val="00CD046C"/>
    <w:rsid w:val="00CE5199"/>
    <w:rsid w:val="00CE66D5"/>
    <w:rsid w:val="00CF5423"/>
    <w:rsid w:val="00D34786"/>
    <w:rsid w:val="00D40A1E"/>
    <w:rsid w:val="00D712D3"/>
    <w:rsid w:val="00D71422"/>
    <w:rsid w:val="00D7145E"/>
    <w:rsid w:val="00D7558D"/>
    <w:rsid w:val="00D81D92"/>
    <w:rsid w:val="00D93446"/>
    <w:rsid w:val="00DA37B6"/>
    <w:rsid w:val="00DA7B5F"/>
    <w:rsid w:val="00DF19C0"/>
    <w:rsid w:val="00E43157"/>
    <w:rsid w:val="00E533FF"/>
    <w:rsid w:val="00E709B3"/>
    <w:rsid w:val="00E8789F"/>
    <w:rsid w:val="00E97B71"/>
    <w:rsid w:val="00EB454D"/>
    <w:rsid w:val="00EC3D09"/>
    <w:rsid w:val="00EE3522"/>
    <w:rsid w:val="00EF619B"/>
    <w:rsid w:val="00F00B55"/>
    <w:rsid w:val="00F1380F"/>
    <w:rsid w:val="00F14F0E"/>
    <w:rsid w:val="00F24C29"/>
    <w:rsid w:val="00F253CC"/>
    <w:rsid w:val="00F549E2"/>
    <w:rsid w:val="00F56BA5"/>
    <w:rsid w:val="00F644E6"/>
    <w:rsid w:val="00F70E5C"/>
    <w:rsid w:val="00F9653B"/>
    <w:rsid w:val="00FA675D"/>
    <w:rsid w:val="00FB62CF"/>
    <w:rsid w:val="00FB7E16"/>
    <w:rsid w:val="00FC3EB4"/>
    <w:rsid w:val="00FC6C58"/>
    <w:rsid w:val="00FD6BED"/>
    <w:rsid w:val="00FE6B45"/>
    <w:rsid w:val="00FF5851"/>
    <w:rsid w:val="00FF7B79"/>
    <w:rsid w:val="5AF39A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541B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31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as.org/en/iachr/decisions/court/2018/12709Fondoen.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oas.org/en/iachr/decisions/court/2018/12709Fondoen.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67EB-0E8C-4424-B5DD-7B68AE03A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C148D-9290-4540-BE87-4AF34ACD940F}">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856B7161-9F95-4D28-80BC-0E88815FA7FC}">
  <ds:schemaRefs>
    <ds:schemaRef ds:uri="http://schemas.microsoft.com/sharepoint/v3/contenttype/forms"/>
  </ds:schemaRefs>
</ds:datastoreItem>
</file>

<file path=customXml/itemProps4.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2022-09-28T16:44:00Z</dcterms:created>
  <dcterms:modified xsi:type="dcterms:W3CDTF">2022-09-28T16:44:00Z</dcterms:modified>
</cp:coreProperties>
</file>